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firstLine="0"/>
        <w:jc w:val="center"/>
        <w:rPr>
          <w:rFonts w:hint="eastAsia" w:ascii="黑体" w:hAnsi="黑体" w:eastAsia="黑体" w:cs="黑体"/>
          <w:b/>
          <w:bCs/>
          <w:i w:val="0"/>
          <w:caps w:val="0"/>
          <w:color w:val="auto"/>
          <w:spacing w:val="0"/>
          <w:sz w:val="32"/>
          <w:szCs w:val="32"/>
          <w:shd w:val="clear" w:color="auto" w:fill="auto"/>
        </w:rPr>
      </w:pPr>
      <w:r>
        <w:rPr>
          <w:rFonts w:hint="eastAsia" w:ascii="黑体" w:hAnsi="黑体" w:eastAsia="黑体" w:cs="黑体"/>
          <w:b/>
          <w:bCs/>
          <w:i w:val="0"/>
          <w:caps w:val="0"/>
          <w:color w:val="auto"/>
          <w:spacing w:val="0"/>
          <w:sz w:val="32"/>
          <w:szCs w:val="32"/>
          <w:shd w:val="clear" w:color="auto" w:fill="auto"/>
        </w:rPr>
        <w:t>住房和城乡建设部、财政部、中国人民银行、中国银行业监督管理委员会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firstLine="0"/>
        <w:jc w:val="center"/>
        <w:rPr>
          <w:rFonts w:hint="eastAsia" w:ascii="黑体" w:hAnsi="黑体" w:eastAsia="黑体" w:cs="黑体"/>
          <w:b/>
          <w:bCs/>
          <w:i w:val="0"/>
          <w:caps w:val="0"/>
          <w:color w:val="auto"/>
          <w:spacing w:val="0"/>
          <w:sz w:val="32"/>
          <w:szCs w:val="32"/>
          <w:shd w:val="clear" w:color="auto" w:fill="auto"/>
          <w:lang w:eastAsia="zh-CN"/>
        </w:rPr>
      </w:pPr>
      <w:r>
        <w:rPr>
          <w:rFonts w:hint="eastAsia" w:ascii="黑体" w:hAnsi="黑体" w:eastAsia="黑体" w:cs="黑体"/>
          <w:b/>
          <w:bCs/>
          <w:i w:val="0"/>
          <w:caps w:val="0"/>
          <w:color w:val="auto"/>
          <w:spacing w:val="0"/>
          <w:sz w:val="32"/>
          <w:szCs w:val="32"/>
          <w:shd w:val="clear" w:color="auto" w:fill="auto"/>
        </w:rPr>
        <w:t>关于规范住房公积金个人住房贷款政策有关问题的通知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60" w:lineRule="auto"/>
        <w:ind w:left="0" w:right="0" w:firstLine="0"/>
        <w:jc w:val="center"/>
        <w:rPr>
          <w:rFonts w:hint="eastAsia" w:ascii="黑体" w:hAnsi="黑体" w:eastAsia="黑体" w:cs="黑体"/>
          <w:b/>
          <w:bCs/>
          <w:i w:val="0"/>
          <w:caps w:val="0"/>
          <w:color w:val="auto"/>
          <w:spacing w:val="0"/>
          <w:sz w:val="32"/>
          <w:szCs w:val="32"/>
          <w:shd w:val="clear" w:color="auto" w:fill="auto"/>
        </w:rPr>
      </w:pPr>
      <w:r>
        <w:rPr>
          <w:rFonts w:hint="eastAsia" w:ascii="黑体" w:hAnsi="黑体" w:eastAsia="黑体" w:cs="黑体"/>
          <w:b/>
          <w:bCs/>
          <w:i w:val="0"/>
          <w:caps w:val="0"/>
          <w:color w:val="auto"/>
          <w:spacing w:val="0"/>
          <w:sz w:val="32"/>
          <w:szCs w:val="32"/>
          <w:shd w:val="clear" w:color="auto" w:fill="auto"/>
        </w:rPr>
        <w:t>（2010年11月2日，建金[2010]179号）</w:t>
      </w:r>
    </w:p>
    <w:p>
      <w:pPr>
        <w:keepNext w:val="0"/>
        <w:keepLines w:val="0"/>
        <w:widowControl/>
        <w:suppressLineNumbers w:val="0"/>
        <w:shd w:val="clear" w:fill="FFFFFF" w:themeFill="background1"/>
        <w:spacing w:after="240" w:afterAutospacing="0" w:line="360" w:lineRule="auto"/>
        <w:jc w:val="left"/>
        <w:rPr>
          <w:rFonts w:hint="eastAsia" w:ascii="宋体" w:hAnsi="宋体" w:eastAsia="宋体" w:cs="宋体"/>
          <w:b w:val="0"/>
          <w:i w:val="0"/>
          <w:caps w:val="0"/>
          <w:color w:val="auto"/>
          <w:spacing w:val="0"/>
          <w:kern w:val="0"/>
          <w:sz w:val="32"/>
          <w:szCs w:val="32"/>
          <w:shd w:val="clear" w:color="auto" w:fill="auto"/>
          <w:lang w:val="en-US" w:eastAsia="zh-CN" w:bidi="ar"/>
        </w:rPr>
      </w:pPr>
    </w:p>
    <w:p>
      <w:pPr>
        <w:spacing w:line="360" w:lineRule="auto"/>
        <w:rPr>
          <w:rFonts w:hint="eastAsia"/>
          <w:sz w:val="32"/>
          <w:szCs w:val="32"/>
          <w:lang w:val="en-US" w:eastAsia="zh-CN"/>
        </w:rPr>
      </w:pPr>
      <w:r>
        <w:rPr>
          <w:rFonts w:hint="eastAsia"/>
          <w:sz w:val="32"/>
          <w:szCs w:val="32"/>
          <w:lang w:val="en-US" w:eastAsia="zh-CN"/>
        </w:rPr>
        <w:t>各省、自治区、直辖市人民政府，国务院各有关部门，新疆生产建设兵团：</w:t>
      </w:r>
      <w:bookmarkStart w:id="6" w:name="_GoBack"/>
      <w:bookmarkEnd w:id="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为规范住房公积金个人住房贷款政策，根据《</w:t>
      </w:r>
      <w:r>
        <w:rPr>
          <w:rFonts w:hint="eastAsia"/>
          <w:sz w:val="32"/>
          <w:szCs w:val="32"/>
          <w:lang w:val="en-US" w:eastAsia="zh-CN"/>
        </w:rPr>
        <w:fldChar w:fldCharType="begin"/>
      </w:r>
      <w:r>
        <w:rPr>
          <w:rFonts w:hint="eastAsia"/>
          <w:sz w:val="32"/>
          <w:szCs w:val="32"/>
          <w:lang w:val="en-US" w:eastAsia="zh-CN"/>
        </w:rPr>
        <w:instrText xml:space="preserve"> HYPERLINK "http://www.pkulaw.cn/javascript:SLC(40025,0)" </w:instrText>
      </w:r>
      <w:r>
        <w:rPr>
          <w:rFonts w:hint="eastAsia"/>
          <w:sz w:val="32"/>
          <w:szCs w:val="32"/>
          <w:lang w:val="en-US" w:eastAsia="zh-CN"/>
        </w:rPr>
        <w:fldChar w:fldCharType="separate"/>
      </w:r>
      <w:r>
        <w:rPr>
          <w:rFonts w:hint="eastAsia"/>
          <w:sz w:val="32"/>
          <w:szCs w:val="32"/>
        </w:rPr>
        <w:t>住房公积金管理条例</w:t>
      </w:r>
      <w:r>
        <w:rPr>
          <w:rFonts w:hint="eastAsia"/>
          <w:sz w:val="32"/>
          <w:szCs w:val="32"/>
          <w:lang w:val="en-US" w:eastAsia="zh-CN"/>
        </w:rPr>
        <w:fldChar w:fldCharType="end"/>
      </w:r>
      <w:r>
        <w:rPr>
          <w:rFonts w:hint="eastAsia"/>
          <w:sz w:val="32"/>
          <w:szCs w:val="32"/>
          <w:lang w:val="en-US" w:eastAsia="zh-CN"/>
        </w:rPr>
        <w:t>》和《</w:t>
      </w:r>
      <w:r>
        <w:rPr>
          <w:rFonts w:hint="eastAsia"/>
          <w:sz w:val="32"/>
          <w:szCs w:val="32"/>
          <w:lang w:val="en-US" w:eastAsia="zh-CN"/>
        </w:rPr>
        <w:fldChar w:fldCharType="begin"/>
      </w:r>
      <w:r>
        <w:rPr>
          <w:rFonts w:hint="eastAsia"/>
          <w:sz w:val="32"/>
          <w:szCs w:val="32"/>
          <w:lang w:val="en-US" w:eastAsia="zh-CN"/>
        </w:rPr>
        <w:instrText xml:space="preserve"> HYPERLINK "http://www.pkulaw.cn/javascript:SLC(129155,0)" </w:instrText>
      </w:r>
      <w:r>
        <w:rPr>
          <w:rFonts w:hint="eastAsia"/>
          <w:sz w:val="32"/>
          <w:szCs w:val="32"/>
          <w:lang w:val="en-US" w:eastAsia="zh-CN"/>
        </w:rPr>
        <w:fldChar w:fldCharType="separate"/>
      </w:r>
      <w:r>
        <w:rPr>
          <w:rFonts w:hint="eastAsia"/>
          <w:sz w:val="32"/>
          <w:szCs w:val="32"/>
        </w:rPr>
        <w:t>国务院关于坚决遏制部分城市房价过快上涨的通知</w:t>
      </w:r>
      <w:r>
        <w:rPr>
          <w:rFonts w:hint="eastAsia"/>
          <w:sz w:val="32"/>
          <w:szCs w:val="32"/>
          <w:lang w:val="en-US" w:eastAsia="zh-CN"/>
        </w:rPr>
        <w:fldChar w:fldCharType="end"/>
      </w:r>
      <w:r>
        <w:rPr>
          <w:rFonts w:hint="eastAsia"/>
          <w:sz w:val="32"/>
          <w:szCs w:val="32"/>
          <w:lang w:val="en-US" w:eastAsia="zh-CN"/>
        </w:rPr>
        <w:t>》（国发〔2010〕10号）的有关规定，经国务院同意，现就有关问题通知如下：</w:t>
      </w:r>
      <w:bookmarkStart w:id="0" w:name="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一、</w:t>
      </w:r>
      <w:bookmarkEnd w:id="0"/>
      <w:r>
        <w:rPr>
          <w:rFonts w:hint="eastAsia"/>
          <w:sz w:val="32"/>
          <w:szCs w:val="32"/>
          <w:lang w:val="en-US" w:eastAsia="zh-CN"/>
        </w:rPr>
        <w:t>住房公积金个人住房贷款只能用于缴存职工购买、建造、翻建、大修普通自住房，以支持基本住房需求。严禁使用住房公积金个人住房贷款进行投机性购房。</w:t>
      </w:r>
      <w:bookmarkStart w:id="1" w:name="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二、</w:t>
      </w:r>
      <w:bookmarkEnd w:id="1"/>
      <w:r>
        <w:rPr>
          <w:rFonts w:hint="eastAsia"/>
          <w:sz w:val="32"/>
          <w:szCs w:val="32"/>
          <w:lang w:val="en-US" w:eastAsia="zh-CN"/>
        </w:rPr>
        <w:t>保持缴存职工家庭（包括借款人、配偶及未成年子女，下同）使用住房公积金个人住房贷款购买首套普通自住房政策的连续性和稳定性。使用住房公积金个人住房贷款购买首套普通自住房，套型建筑面积在90平方米（含）以下的，贷款首付款比例不得低于20%；套型建筑面积在90平方米以上的，贷款首付款比例不得低于30%。</w:t>
      </w:r>
      <w:bookmarkStart w:id="2" w:name="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三、</w:t>
      </w:r>
      <w:bookmarkEnd w:id="2"/>
      <w:r>
        <w:rPr>
          <w:rFonts w:hint="eastAsia"/>
          <w:sz w:val="32"/>
          <w:szCs w:val="32"/>
          <w:lang w:val="en-US" w:eastAsia="zh-CN"/>
        </w:rPr>
        <w:t>第二套住房公积金个人住房贷款的发放对象，仅限于现有人均住房建筑面积低于当地平均水平的缴存职工家庭，且贷款用途仅限于购买改善居住条件的普通自住房。第二套住房公积金个人住房贷款首付款比例不得低于50%，贷款利率不得低于同期首套住房公积金个人住房贷款利率的1.1倍。</w:t>
      </w:r>
      <w:bookmarkStart w:id="3" w:name="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四、</w:t>
      </w:r>
      <w:bookmarkEnd w:id="3"/>
      <w:r>
        <w:rPr>
          <w:rFonts w:hint="eastAsia"/>
          <w:sz w:val="32"/>
          <w:szCs w:val="32"/>
          <w:lang w:val="en-US" w:eastAsia="zh-CN"/>
        </w:rPr>
        <w:t>停止向购买第三套及以上住房的缴存职工家庭发放住房公积金个人住房贷款。</w:t>
      </w:r>
      <w:bookmarkStart w:id="4" w:name="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五、</w:t>
      </w:r>
      <w:bookmarkEnd w:id="4"/>
      <w:r>
        <w:rPr>
          <w:rFonts w:hint="eastAsia"/>
          <w:sz w:val="32"/>
          <w:szCs w:val="32"/>
          <w:lang w:val="en-US" w:eastAsia="zh-CN"/>
        </w:rPr>
        <w:t>城市住房公积金管理委员会要根据当地住房价格、人均住房建筑面积和住房公积金业务发展状况，以支持缴存职工购买普通自住房的贷款需求为原则，合理确定住房公积金个人住房贷款最高额度，并报省级住房城乡建设、财政、人民银行、银监部门备案。直辖市、新疆生产建设兵团住房公积金个人住房贷款最高额度报住房城乡建设部、财政部、人民银行和银监会备案。</w:t>
      </w:r>
      <w:bookmarkStart w:id="5" w:name="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六、</w:t>
      </w:r>
      <w:bookmarkEnd w:id="5"/>
      <w:r>
        <w:rPr>
          <w:rFonts w:hint="eastAsia"/>
          <w:sz w:val="32"/>
          <w:szCs w:val="32"/>
          <w:lang w:val="en-US" w:eastAsia="zh-CN"/>
        </w:rPr>
        <w:t>城市住房公积金管理中心和受委托银行要采取有效措施，加强住房公积金个人住房贷款的调查、审核、抵押、发放、回收等工作，切实加强贷款风险管理，保障资金安全。住房公积金管理中心要会同有关主管部门，抓紧建立信息共享机制，防范骗取住房公积金个人住房贷款等行为。同时，要简化办理手续，提高服务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rPr>
      </w:pPr>
      <w:r>
        <w:rPr>
          <w:rFonts w:hint="eastAsia"/>
          <w:sz w:val="32"/>
          <w:szCs w:val="32"/>
          <w:lang w:val="en-US" w:eastAsia="zh-CN"/>
        </w:rPr>
        <w:t>城市人民政府要结合当地实际，抓紧制定落实本通知精神的具体措施，积极做好政策解释工作。各省、自治区、直辖市人民政府和新疆生产建设兵团有关部门要加强工作指导，加大监督检查力度。政策执行中有关问题，及时报住房城乡建设部、财政部、人民银行和银监会。</w:t>
      </w:r>
    </w:p>
    <w:p>
      <w:pPr>
        <w:spacing w:line="360" w:lineRule="auto"/>
        <w:jc w:val="right"/>
        <w:rPr>
          <w:rFonts w:hint="eastAsia"/>
          <w:sz w:val="32"/>
          <w:szCs w:val="32"/>
          <w:lang w:val="en-US" w:eastAsia="zh-CN"/>
        </w:rPr>
      </w:pPr>
      <w:r>
        <w:rPr>
          <w:rFonts w:hint="eastAsia"/>
          <w:sz w:val="32"/>
          <w:szCs w:val="32"/>
          <w:lang w:val="en-US" w:eastAsia="zh-CN"/>
        </w:rPr>
        <w:t>中华人民共和国住房和城乡建设部</w:t>
      </w:r>
    </w:p>
    <w:p>
      <w:pPr>
        <w:spacing w:line="360" w:lineRule="auto"/>
        <w:jc w:val="right"/>
        <w:rPr>
          <w:rFonts w:hint="eastAsia"/>
          <w:sz w:val="32"/>
          <w:szCs w:val="32"/>
          <w:lang w:val="en-US" w:eastAsia="zh-CN"/>
        </w:rPr>
      </w:pPr>
      <w:r>
        <w:rPr>
          <w:rFonts w:hint="eastAsia"/>
          <w:sz w:val="32"/>
          <w:szCs w:val="32"/>
          <w:lang w:val="en-US" w:eastAsia="zh-CN"/>
        </w:rPr>
        <w:t>中华人民共和国财政部</w:t>
      </w:r>
    </w:p>
    <w:p>
      <w:pPr>
        <w:spacing w:line="360" w:lineRule="auto"/>
        <w:jc w:val="right"/>
        <w:rPr>
          <w:rFonts w:hint="eastAsia"/>
          <w:sz w:val="32"/>
          <w:szCs w:val="32"/>
          <w:lang w:val="en-US" w:eastAsia="zh-CN"/>
        </w:rPr>
      </w:pPr>
      <w:r>
        <w:rPr>
          <w:rFonts w:hint="eastAsia"/>
          <w:sz w:val="32"/>
          <w:szCs w:val="32"/>
          <w:lang w:val="en-US" w:eastAsia="zh-CN"/>
        </w:rPr>
        <w:t>中国人民银行</w:t>
      </w:r>
    </w:p>
    <w:p>
      <w:pPr>
        <w:spacing w:line="360" w:lineRule="auto"/>
        <w:jc w:val="right"/>
        <w:rPr>
          <w:rFonts w:hint="eastAsia"/>
          <w:sz w:val="32"/>
          <w:szCs w:val="32"/>
          <w:lang w:val="en-US" w:eastAsia="zh-CN"/>
        </w:rPr>
      </w:pPr>
      <w:r>
        <w:rPr>
          <w:rFonts w:hint="eastAsia"/>
          <w:sz w:val="32"/>
          <w:szCs w:val="32"/>
          <w:lang w:val="en-US" w:eastAsia="zh-CN"/>
        </w:rPr>
        <w:t>中国银行业监督管理委员会</w:t>
      </w:r>
    </w:p>
    <w:p>
      <w:pPr>
        <w:spacing w:line="360" w:lineRule="auto"/>
        <w:jc w:val="right"/>
        <w:rPr>
          <w:rFonts w:hint="eastAsia"/>
          <w:sz w:val="32"/>
          <w:szCs w:val="32"/>
        </w:rPr>
      </w:pPr>
      <w:r>
        <w:rPr>
          <w:rFonts w:hint="eastAsia"/>
          <w:sz w:val="32"/>
          <w:szCs w:val="32"/>
          <w:lang w:val="en-US" w:eastAsia="zh-CN"/>
        </w:rPr>
        <w:t>二〇一〇年十一月二日</w:t>
      </w:r>
    </w:p>
    <w:p>
      <w:pPr>
        <w:spacing w:line="360" w:lineRule="auto"/>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B537F7"/>
    <w:rsid w:val="6A740817"/>
    <w:rsid w:val="786908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2017-05-18T03:07:42Z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