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2"/>
          <w:szCs w:val="32"/>
        </w:rPr>
      </w:pPr>
      <w:bookmarkStart w:id="0" w:name="_GoBack"/>
      <w:r>
        <w:rPr>
          <w:rFonts w:hint="eastAsia" w:ascii="黑体" w:hAnsi="黑体" w:eastAsia="黑体" w:cs="黑体"/>
          <w:b/>
          <w:bCs/>
          <w:sz w:val="32"/>
          <w:szCs w:val="32"/>
        </w:rPr>
        <w:t>住房城乡建设部、财政部、中国人民银行</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关于切实提高住房公积金使用效率的通知</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（2015年10月8日，建金[2015]150号）</w:t>
      </w:r>
    </w:p>
    <w:bookmarkEnd w:id="0"/>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各省、自治区、直辖市住房城乡建设厅（建委）、财政厅（局），新疆生产建设兵团建设局、财务局，中国人民银行各分行、营业管理部、各省会（首府）城市中心支行、副省级城市中心支行，直辖市、新疆生产建设兵团住房公积金管理委员会、住房公积金管理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今年以来，各地贯彻落实全国加强住房公积金管理工作电视电话会议精神，按照《关于发展住房公积金个人住房贷款业务的通知》（建金〔2014〕148号）、《关于放宽提取住房公积金支付房租条件的通知》（建金〔2015〕19号）和《关于个人住房贷款政策有关问题的通知》（银发〔2015〕98号）要求，调整住房公积金使用政策，简化业务办理流程，资金使用效率有所提高。但部分地区住房公积金使用条件仍然偏紧，办理手续复杂，结余资金规模较大，制约了住房公积金作用的发挥。为切实提高住房公积金使用效率，按照国务院关于加快落实住房公积金使用政策的督查要求，现就有关事项通知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一、提高实际贷款额度。2015年8月末住房公积金资金运用率低于85%的设区城市，要综合考虑当地房价水平、贷款需求和借款人还款能力，提高住房公积金个人住房贷款实际额度。在保证借款人基本生活费用的前提下，月还款额与月收入比上限控制在50%-60%。贷款偿还期限可延至借款人法定退休年龄后5年，最长贷款期限为30年。推行按月划转住房公积金冲还贷款本息业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二、设区城市统筹使用资金。同一设区城市住房公积金管理中心和分中心应当统一住房公积金提取和贷款政策，统筹使用贷款资金。住房公积金管理中心或分中心贷款资金不足时，应允许缴存职工向同城住房公积金管理机构申请贷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三、拓宽贷款资金筹集渠道。有条件的城市要积极推行住房公积金个人住房贷款资产证券化业务，盘活住房公积金贷款资产。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四、全面推行异地贷款业务。缴存职工在缴存地以外地区购房，可按购房地住房公积金个人住房贷款政策向购房地住房公积金管理中心申请个人住房贷款。缴存地和购房地住房公积金管理中心应相互配合，及时出具、确认缴存证明等材料，办理贷款手续。具体办法由住房城乡建设部另行制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五、简化业务审批要件。缴存职工申请住房公积金个人住房贷款、同意根据本人住房公积金月缴存额推算其月收入的，不需单位出具职工收入证明。缴存职工租住商品住房申请提取住房公积金，除身份证明、本人及配偶无房证明外，不需提供其它证明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六、提高管理效率和服务水平。各地住房公积金管理中心要优化内部人员配置，增加网点工作人员，工资待遇向网点工作人员倾斜。要充分利用受托银行业务网点优势，方便缴存职工就近办理住房公积金提取和贷款手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七、加快改造升级信息系统。各地住房公积金管理中心要根据政策调整和流程优化的需要，加快改造升级住房公积金管理信息系统，建立集12329服务热线、短信、微信、手机APP、网上业务大厅等功能于一体的综合服务平台，推进办理网上业务，为缴存职工提供高效便捷的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八、建立考核问责制度。各级住房公积金监管部门要加强对城市住房公积金管理中心业务考核，将住房公积金资金运用率或住房公积金个人住房贷款市场占有率作为重要考核指标，考核结果要通报设区城市人民政府，并作为考核住房公积金管理中心负责人的重要参考。住房公积金资金运用率或住房公积金个人住房贷款市场占有率低的城市，要对住房公积金管理中心主要负责人进行约谈和问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本通知自2015年10月8日起执行。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right"/>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right"/>
        <w:textAlignment w:val="auto"/>
        <w:outlineLvl w:val="9"/>
        <w:rPr>
          <w:rFonts w:hint="eastAsia" w:ascii="宋体" w:hAnsi="宋体" w:eastAsia="宋体" w:cs="宋体"/>
          <w:sz w:val="32"/>
          <w:szCs w:val="32"/>
        </w:rPr>
      </w:pPr>
      <w:r>
        <w:rPr>
          <w:rFonts w:hint="eastAsia" w:ascii="宋体" w:hAnsi="宋体" w:eastAsia="宋体" w:cs="宋体"/>
          <w:sz w:val="32"/>
          <w:szCs w:val="32"/>
        </w:rPr>
        <w:t>住房和城乡建设部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right"/>
        <w:textAlignment w:val="auto"/>
        <w:outlineLvl w:val="9"/>
        <w:rPr>
          <w:rFonts w:hint="eastAsia" w:ascii="宋体" w:hAnsi="宋体" w:eastAsia="宋体" w:cs="宋体"/>
          <w:sz w:val="32"/>
          <w:szCs w:val="32"/>
        </w:rPr>
      </w:pPr>
      <w:r>
        <w:rPr>
          <w:rFonts w:hint="eastAsia" w:ascii="宋体" w:hAnsi="宋体" w:eastAsia="宋体" w:cs="宋体"/>
          <w:sz w:val="32"/>
          <w:szCs w:val="32"/>
        </w:rPr>
        <w:t>财政部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right"/>
        <w:textAlignment w:val="auto"/>
        <w:outlineLvl w:val="9"/>
        <w:rPr>
          <w:rFonts w:hint="eastAsia" w:ascii="宋体" w:hAnsi="宋体" w:eastAsia="宋体" w:cs="宋体"/>
          <w:sz w:val="32"/>
          <w:szCs w:val="32"/>
        </w:rPr>
      </w:pPr>
      <w:r>
        <w:rPr>
          <w:rFonts w:hint="eastAsia" w:ascii="宋体" w:hAnsi="宋体" w:eastAsia="宋体" w:cs="宋体"/>
          <w:sz w:val="32"/>
          <w:szCs w:val="32"/>
        </w:rPr>
        <w:t>中国人民银行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right"/>
        <w:textAlignment w:val="auto"/>
        <w:outlineLvl w:val="9"/>
        <w:rPr>
          <w:rFonts w:hint="eastAsia" w:ascii="宋体" w:hAnsi="宋体" w:eastAsia="宋体" w:cs="宋体"/>
          <w:sz w:val="32"/>
          <w:szCs w:val="32"/>
        </w:rPr>
      </w:pPr>
      <w:r>
        <w:rPr>
          <w:rFonts w:hint="eastAsia" w:ascii="宋体" w:hAnsi="宋体" w:eastAsia="宋体" w:cs="宋体"/>
          <w:sz w:val="32"/>
          <w:szCs w:val="32"/>
        </w:rPr>
        <w:t>2015年9月29日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6653C3"/>
    <w:rsid w:val="66EA42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2017-05-18T01:50:37Z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