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财政部</w:t>
      </w:r>
    </w:p>
    <w:p>
      <w:pPr>
        <w:spacing w:line="360" w:lineRule="auto"/>
        <w:jc w:val="center"/>
        <w:rPr>
          <w:rFonts w:hint="eastAsia" w:ascii="黑体" w:hAnsi="黑体" w:eastAsia="黑体" w:cs="黑体"/>
          <w:b/>
          <w:bCs/>
          <w:sz w:val="32"/>
          <w:szCs w:val="32"/>
          <w:lang w:eastAsia="zh-CN"/>
        </w:rPr>
      </w:pPr>
      <w:r>
        <w:rPr>
          <w:rFonts w:hint="eastAsia" w:ascii="黑体" w:hAnsi="黑体" w:eastAsia="黑体" w:cs="黑体"/>
          <w:b/>
          <w:bCs/>
          <w:sz w:val="32"/>
          <w:szCs w:val="32"/>
        </w:rPr>
        <w:t>关于印发《利用住房公积金发放保障性住房建设项目贷款相关业务会计核算办法》的通知</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w:t>
      </w:r>
      <w:r>
        <w:rPr>
          <w:rFonts w:hint="eastAsia" w:ascii="黑体" w:hAnsi="黑体" w:eastAsia="黑体" w:cs="黑体"/>
          <w:b/>
          <w:bCs/>
          <w:sz w:val="32"/>
          <w:szCs w:val="32"/>
        </w:rPr>
        <w:t>2010年9月27日，财会[2010]18号）</w:t>
      </w:r>
    </w:p>
    <w:p>
      <w:pPr>
        <w:spacing w:line="360" w:lineRule="auto"/>
        <w:jc w:val="center"/>
        <w:rPr>
          <w:rFonts w:hint="eastAsia"/>
          <w:b/>
          <w:bCs/>
          <w:sz w:val="32"/>
          <w:szCs w:val="32"/>
          <w:lang w:val="en-US" w:eastAsia="zh-CN"/>
        </w:rPr>
      </w:pPr>
    </w:p>
    <w:p>
      <w:pPr>
        <w:spacing w:line="360" w:lineRule="auto"/>
        <w:rPr>
          <w:rFonts w:hint="eastAsia"/>
          <w:sz w:val="32"/>
          <w:szCs w:val="32"/>
          <w:lang w:val="en-US" w:eastAsia="zh-CN"/>
        </w:rPr>
      </w:pPr>
      <w:r>
        <w:rPr>
          <w:rFonts w:hint="eastAsia"/>
          <w:sz w:val="32"/>
          <w:szCs w:val="32"/>
          <w:lang w:val="en-US" w:eastAsia="zh-CN"/>
        </w:rPr>
        <w:t>住房城乡建设部，有关省、自治区、直辖市、计划单列市财政厅（局）：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sz w:val="32"/>
          <w:szCs w:val="32"/>
          <w:lang w:val="en-US" w:eastAsia="zh-CN"/>
        </w:rPr>
      </w:pPr>
      <w:r>
        <w:rPr>
          <w:rFonts w:hint="eastAsia"/>
          <w:sz w:val="32"/>
          <w:szCs w:val="32"/>
          <w:lang w:val="en-US" w:eastAsia="zh-CN"/>
        </w:rPr>
        <w:t>为规范有关利用住房公积金发放保障性住房建设项目贷款试点城市住房公积金支持保障性住房建设资金核算，根据住房城乡建设部、财政部、国家发展改革委、中国人民银行、监察部、审计署、银监会联合印发的《关于利用住房公积金贷款支持保障性住房建设试点工作的实施意见》（建金[2009]160号）的规定，我们制定了《利用住房公积金发放保障性住房建设项目贷款相关业务会计核算办法》，现印发给你们，请转发相关住房公积金管理中心遵照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b/>
          <w:bCs/>
          <w:sz w:val="32"/>
          <w:szCs w:val="32"/>
        </w:rPr>
      </w:pPr>
      <w:r>
        <w:rPr>
          <w:rFonts w:hint="eastAsia"/>
          <w:b/>
          <w:bCs/>
          <w:sz w:val="32"/>
          <w:szCs w:val="32"/>
          <w:lang w:val="en-US" w:eastAsia="zh-CN"/>
        </w:rPr>
        <w:t>附件：利用住房公积金发放保障性住房建设项目贷款相关业务会计核算办法</w:t>
      </w:r>
    </w:p>
    <w:p>
      <w:pPr>
        <w:spacing w:line="360" w:lineRule="auto"/>
        <w:jc w:val="right"/>
        <w:rPr>
          <w:rFonts w:hint="eastAsia"/>
          <w:sz w:val="32"/>
          <w:szCs w:val="32"/>
          <w:lang w:val="en-US" w:eastAsia="zh-CN"/>
        </w:rPr>
      </w:pPr>
      <w:r>
        <w:rPr>
          <w:rFonts w:hint="eastAsia"/>
          <w:sz w:val="32"/>
          <w:szCs w:val="32"/>
          <w:lang w:val="en-US" w:eastAsia="zh-CN"/>
        </w:rPr>
        <w:t>财政部</w:t>
      </w:r>
    </w:p>
    <w:p>
      <w:pPr>
        <w:spacing w:line="360" w:lineRule="auto"/>
        <w:jc w:val="right"/>
        <w:rPr>
          <w:rFonts w:hint="eastAsia"/>
          <w:sz w:val="32"/>
          <w:szCs w:val="32"/>
          <w:lang w:val="en-US" w:eastAsia="zh-CN"/>
        </w:rPr>
      </w:pPr>
      <w:r>
        <w:rPr>
          <w:rFonts w:hint="eastAsia"/>
          <w:sz w:val="32"/>
          <w:szCs w:val="32"/>
          <w:lang w:val="en-US" w:eastAsia="zh-CN"/>
        </w:rPr>
        <w:t>二○一○年九月二十七日</w:t>
      </w:r>
    </w:p>
    <w:p>
      <w:pPr>
        <w:spacing w:line="360" w:lineRule="auto"/>
        <w:jc w:val="right"/>
        <w:rPr>
          <w:rFonts w:hint="eastAsia"/>
          <w:sz w:val="32"/>
          <w:szCs w:val="32"/>
          <w:lang w:val="en-US" w:eastAsia="zh-CN"/>
        </w:rPr>
      </w:pPr>
    </w:p>
    <w:p>
      <w:pPr>
        <w:spacing w:line="360" w:lineRule="auto"/>
        <w:jc w:val="right"/>
        <w:rPr>
          <w:rFonts w:hint="eastAsia"/>
          <w:sz w:val="32"/>
          <w:szCs w:val="32"/>
          <w:lang w:val="en-US" w:eastAsia="zh-CN"/>
        </w:rPr>
      </w:pPr>
      <w:r>
        <w:rPr>
          <w:rFonts w:hint="eastAsia"/>
          <w:sz w:val="32"/>
          <w:szCs w:val="32"/>
          <w:lang w:val="en-US" w:eastAsia="zh-CN"/>
        </w:rPr>
        <w:br w:type="page"/>
      </w:r>
    </w:p>
    <w:p>
      <w:pPr>
        <w:spacing w:line="360" w:lineRule="auto"/>
        <w:rPr>
          <w:rFonts w:hint="eastAsia"/>
          <w:sz w:val="32"/>
          <w:szCs w:val="32"/>
          <w:lang w:val="en-US" w:eastAsia="zh-CN"/>
        </w:rPr>
      </w:pPr>
    </w:p>
    <w:p>
      <w:pPr>
        <w:spacing w:line="360" w:lineRule="auto"/>
        <w:rPr>
          <w:rFonts w:hint="eastAsia"/>
          <w:b/>
          <w:bCs/>
          <w:sz w:val="32"/>
          <w:szCs w:val="32"/>
          <w:lang w:val="en-US" w:eastAsia="zh-CN"/>
        </w:rPr>
      </w:pPr>
      <w:r>
        <w:rPr>
          <w:rFonts w:hint="eastAsia"/>
          <w:b/>
          <w:bCs/>
          <w:sz w:val="32"/>
          <w:szCs w:val="32"/>
          <w:lang w:val="en-US" w:eastAsia="zh-CN"/>
        </w:rPr>
        <w:t>附件：</w:t>
      </w:r>
    </w:p>
    <w:p>
      <w:pPr>
        <w:spacing w:line="360" w:lineRule="auto"/>
        <w:rPr>
          <w:rFonts w:hint="eastAsia"/>
          <w:b/>
          <w:bCs/>
          <w:sz w:val="32"/>
          <w:szCs w:val="32"/>
          <w:lang w:val="en-US" w:eastAsia="zh-CN"/>
        </w:rPr>
      </w:pPr>
    </w:p>
    <w:p>
      <w:pPr>
        <w:spacing w:line="360" w:lineRule="auto"/>
        <w:jc w:val="center"/>
        <w:rPr>
          <w:rFonts w:hint="eastAsia"/>
          <w:b/>
          <w:bCs/>
          <w:sz w:val="32"/>
          <w:szCs w:val="32"/>
        </w:rPr>
      </w:pPr>
      <w:r>
        <w:rPr>
          <w:rFonts w:hint="eastAsia"/>
          <w:b/>
          <w:bCs/>
          <w:sz w:val="32"/>
          <w:szCs w:val="32"/>
          <w:lang w:val="en-US" w:eastAsia="zh-CN"/>
        </w:rPr>
        <w:t>利用住房公积金发放保障性住房建设项目贷款相关业务会计核算办法</w:t>
      </w:r>
    </w:p>
    <w:p>
      <w:pPr>
        <w:spacing w:line="360" w:lineRule="auto"/>
        <w:rPr>
          <w:rFonts w:hint="eastAsia"/>
          <w:sz w:val="32"/>
          <w:szCs w:val="32"/>
          <w:lang w:val="en-US" w:eastAsia="zh-CN"/>
        </w:rPr>
      </w:pPr>
      <w:bookmarkStart w:id="0" w:name="1"/>
    </w:p>
    <w:p>
      <w:pPr>
        <w:spacing w:line="360" w:lineRule="auto"/>
        <w:rPr>
          <w:rFonts w:hint="eastAsia"/>
          <w:sz w:val="32"/>
          <w:szCs w:val="32"/>
          <w:lang w:val="en-US" w:eastAsia="zh-CN"/>
        </w:rPr>
      </w:pPr>
      <w:r>
        <w:rPr>
          <w:rFonts w:hint="eastAsia"/>
          <w:b/>
          <w:bCs/>
          <w:sz w:val="32"/>
          <w:szCs w:val="32"/>
          <w:lang w:val="en-US" w:eastAsia="zh-CN"/>
        </w:rPr>
        <w:t>一、</w:t>
      </w:r>
      <w:bookmarkEnd w:id="0"/>
      <w:r>
        <w:rPr>
          <w:rFonts w:hint="eastAsia"/>
          <w:b/>
          <w:bCs/>
          <w:sz w:val="32"/>
          <w:szCs w:val="32"/>
          <w:lang w:val="en-US" w:eastAsia="zh-CN"/>
        </w:rPr>
        <w:t>总说明</w:t>
      </w:r>
    </w:p>
    <w:p>
      <w:pPr>
        <w:spacing w:line="360" w:lineRule="auto"/>
        <w:rPr>
          <w:rFonts w:hint="eastAsia"/>
          <w:sz w:val="32"/>
          <w:szCs w:val="32"/>
          <w:lang w:val="en-US" w:eastAsia="zh-CN"/>
        </w:rPr>
      </w:pPr>
      <w:r>
        <w:rPr>
          <w:rFonts w:hint="eastAsia"/>
          <w:sz w:val="32"/>
          <w:szCs w:val="32"/>
          <w:lang w:val="en-US" w:eastAsia="zh-CN"/>
        </w:rPr>
        <w:t>（一）为了规范有关利用住房公积金发放保障性住房建设项目贷款（以下简称建设项目贷款）试点城市住房公积金支持保障性住房建设资金核算，保证会计信息的真实、完整，根据《</w:t>
      </w:r>
      <w:r>
        <w:rPr>
          <w:rFonts w:hint="eastAsia"/>
          <w:sz w:val="32"/>
          <w:szCs w:val="32"/>
          <w:lang w:val="en-US" w:eastAsia="zh-CN"/>
        </w:rPr>
        <w:fldChar w:fldCharType="begin"/>
      </w:r>
      <w:r>
        <w:rPr>
          <w:rFonts w:hint="eastAsia"/>
          <w:sz w:val="32"/>
          <w:szCs w:val="32"/>
          <w:lang w:val="en-US" w:eastAsia="zh-CN"/>
        </w:rPr>
        <w:instrText xml:space="preserve"> HYPERLINK "http://www.pkulaw.cn/javascript:SLC(26810,0)" </w:instrText>
      </w:r>
      <w:r>
        <w:rPr>
          <w:rFonts w:hint="eastAsia"/>
          <w:sz w:val="32"/>
          <w:szCs w:val="32"/>
          <w:lang w:val="en-US" w:eastAsia="zh-CN"/>
        </w:rPr>
        <w:fldChar w:fldCharType="separate"/>
      </w:r>
      <w:r>
        <w:rPr>
          <w:rFonts w:hint="eastAsia"/>
          <w:sz w:val="32"/>
          <w:szCs w:val="32"/>
        </w:rPr>
        <w:t>住房公积金会计核算办法</w:t>
      </w:r>
      <w:r>
        <w:rPr>
          <w:rFonts w:hint="eastAsia"/>
          <w:sz w:val="32"/>
          <w:szCs w:val="32"/>
          <w:lang w:val="en-US" w:eastAsia="zh-CN"/>
        </w:rPr>
        <w:fldChar w:fldCharType="end"/>
      </w:r>
      <w:r>
        <w:rPr>
          <w:rFonts w:hint="eastAsia"/>
          <w:sz w:val="32"/>
          <w:szCs w:val="32"/>
          <w:lang w:val="en-US" w:eastAsia="zh-CN"/>
        </w:rPr>
        <w:t>》（财会字[1999]33号）、《关于利用住房公积金贷款支持保障性住房建设试点工作的实施意见》（建金[2009]160号）和《</w:t>
      </w:r>
      <w:r>
        <w:rPr>
          <w:rFonts w:hint="eastAsia"/>
          <w:sz w:val="32"/>
          <w:szCs w:val="32"/>
          <w:lang w:val="en-US" w:eastAsia="zh-CN"/>
        </w:rPr>
        <w:fldChar w:fldCharType="begin"/>
      </w:r>
      <w:r>
        <w:rPr>
          <w:rFonts w:hint="eastAsia"/>
          <w:sz w:val="32"/>
          <w:szCs w:val="32"/>
          <w:lang w:val="en-US" w:eastAsia="zh-CN"/>
        </w:rPr>
        <w:instrText xml:space="preserve"> HYPERLINK "http://www.pkulaw.cn/javascript:SLC(129728,0)" </w:instrText>
      </w:r>
      <w:r>
        <w:rPr>
          <w:rFonts w:hint="eastAsia"/>
          <w:sz w:val="32"/>
          <w:szCs w:val="32"/>
          <w:lang w:val="en-US" w:eastAsia="zh-CN"/>
        </w:rPr>
        <w:fldChar w:fldCharType="separate"/>
      </w:r>
      <w:r>
        <w:rPr>
          <w:rFonts w:hint="eastAsia"/>
          <w:sz w:val="32"/>
          <w:szCs w:val="32"/>
        </w:rPr>
        <w:t>利用住房公积金发放保障性住房建设贷款财务管理办法</w:t>
      </w:r>
      <w:r>
        <w:rPr>
          <w:rFonts w:hint="eastAsia"/>
          <w:sz w:val="32"/>
          <w:szCs w:val="32"/>
          <w:lang w:val="en-US" w:eastAsia="zh-CN"/>
        </w:rPr>
        <w:fldChar w:fldCharType="end"/>
      </w:r>
      <w:r>
        <w:rPr>
          <w:rFonts w:hint="eastAsia"/>
          <w:sz w:val="32"/>
          <w:szCs w:val="32"/>
          <w:lang w:val="en-US" w:eastAsia="zh-CN"/>
        </w:rPr>
        <w:t>》（财综[2010]12号）等相关法规，制定本办法。</w:t>
      </w:r>
    </w:p>
    <w:p>
      <w:pPr>
        <w:spacing w:line="360" w:lineRule="auto"/>
        <w:rPr>
          <w:rFonts w:hint="eastAsia"/>
          <w:sz w:val="32"/>
          <w:szCs w:val="32"/>
          <w:lang w:val="en-US" w:eastAsia="zh-CN"/>
        </w:rPr>
      </w:pPr>
      <w:r>
        <w:rPr>
          <w:rFonts w:hint="eastAsia"/>
          <w:sz w:val="32"/>
          <w:szCs w:val="32"/>
          <w:lang w:val="en-US" w:eastAsia="zh-CN"/>
        </w:rPr>
        <w:t>（二）本办法适用于《关于做好利用住房公积金贷款支持保障性住房建设试点工作的通知》（建金[2010]100号）规定的28个建设项目贷款试点城市住房公积金管理中心管理的住房公积金。</w:t>
      </w:r>
    </w:p>
    <w:p>
      <w:pPr>
        <w:spacing w:line="360" w:lineRule="auto"/>
        <w:rPr>
          <w:rFonts w:hint="eastAsia"/>
          <w:sz w:val="32"/>
          <w:szCs w:val="32"/>
          <w:lang w:val="en-US" w:eastAsia="zh-CN"/>
        </w:rPr>
      </w:pPr>
      <w:r>
        <w:rPr>
          <w:rFonts w:hint="eastAsia"/>
          <w:sz w:val="32"/>
          <w:szCs w:val="32"/>
          <w:lang w:val="en-US" w:eastAsia="zh-CN"/>
        </w:rPr>
        <w:t>（三）本办法规定《</w:t>
      </w:r>
      <w:r>
        <w:rPr>
          <w:rFonts w:hint="eastAsia"/>
          <w:sz w:val="32"/>
          <w:szCs w:val="32"/>
          <w:lang w:val="en-US" w:eastAsia="zh-CN"/>
        </w:rPr>
        <w:fldChar w:fldCharType="begin"/>
      </w:r>
      <w:r>
        <w:rPr>
          <w:rFonts w:hint="eastAsia"/>
          <w:sz w:val="32"/>
          <w:szCs w:val="32"/>
          <w:lang w:val="en-US" w:eastAsia="zh-CN"/>
        </w:rPr>
        <w:instrText xml:space="preserve"> HYPERLINK "http://www.pkulaw.cn/javascript:SLC(26810,0)" </w:instrText>
      </w:r>
      <w:r>
        <w:rPr>
          <w:rFonts w:hint="eastAsia"/>
          <w:sz w:val="32"/>
          <w:szCs w:val="32"/>
          <w:lang w:val="en-US" w:eastAsia="zh-CN"/>
        </w:rPr>
        <w:fldChar w:fldCharType="separate"/>
      </w:r>
      <w:r>
        <w:rPr>
          <w:rFonts w:hint="eastAsia"/>
          <w:sz w:val="32"/>
          <w:szCs w:val="32"/>
        </w:rPr>
        <w:t>住房公积金会计核算办法</w:t>
      </w:r>
      <w:r>
        <w:rPr>
          <w:rFonts w:hint="eastAsia"/>
          <w:sz w:val="32"/>
          <w:szCs w:val="32"/>
          <w:lang w:val="en-US" w:eastAsia="zh-CN"/>
        </w:rPr>
        <w:fldChar w:fldCharType="end"/>
      </w:r>
      <w:r>
        <w:rPr>
          <w:rFonts w:hint="eastAsia"/>
          <w:sz w:val="32"/>
          <w:szCs w:val="32"/>
          <w:lang w:val="en-US" w:eastAsia="zh-CN"/>
        </w:rPr>
        <w:t>》（财会字[1999]33号）中涉及建设项目贷款业务的相关会计科目下分别按照建设项目贷款业务和在受托银行办理住房公积金个人住房贷款（以下简称个人住房贷款）业务增设相关明细科目。其中，对于个人住房贷款业务相关明细科目会计处理沿用《</w:t>
      </w:r>
      <w:r>
        <w:rPr>
          <w:rFonts w:hint="eastAsia"/>
          <w:sz w:val="32"/>
          <w:szCs w:val="32"/>
          <w:lang w:val="en-US" w:eastAsia="zh-CN"/>
        </w:rPr>
        <w:fldChar w:fldCharType="begin"/>
      </w:r>
      <w:r>
        <w:rPr>
          <w:rFonts w:hint="eastAsia"/>
          <w:sz w:val="32"/>
          <w:szCs w:val="32"/>
          <w:lang w:val="en-US" w:eastAsia="zh-CN"/>
        </w:rPr>
        <w:instrText xml:space="preserve"> HYPERLINK "http://www.pkulaw.cn/javascript:SLC(26810,0)" </w:instrText>
      </w:r>
      <w:r>
        <w:rPr>
          <w:rFonts w:hint="eastAsia"/>
          <w:sz w:val="32"/>
          <w:szCs w:val="32"/>
          <w:lang w:val="en-US" w:eastAsia="zh-CN"/>
        </w:rPr>
        <w:fldChar w:fldCharType="separate"/>
      </w:r>
      <w:r>
        <w:rPr>
          <w:rFonts w:hint="eastAsia"/>
          <w:sz w:val="32"/>
          <w:szCs w:val="32"/>
        </w:rPr>
        <w:t>住房公积金会计核算办法</w:t>
      </w:r>
      <w:r>
        <w:rPr>
          <w:rFonts w:hint="eastAsia"/>
          <w:sz w:val="32"/>
          <w:szCs w:val="32"/>
          <w:lang w:val="en-US" w:eastAsia="zh-CN"/>
        </w:rPr>
        <w:fldChar w:fldCharType="end"/>
      </w:r>
      <w:r>
        <w:rPr>
          <w:rFonts w:hint="eastAsia"/>
          <w:sz w:val="32"/>
          <w:szCs w:val="32"/>
          <w:lang w:val="en-US" w:eastAsia="zh-CN"/>
        </w:rPr>
        <w:t>》相关规定，对于建设项目贷款业务相关明细科目会计处理遵照本办法规定。</w:t>
      </w:r>
    </w:p>
    <w:p>
      <w:pPr>
        <w:spacing w:line="360" w:lineRule="auto"/>
        <w:rPr>
          <w:rFonts w:hint="eastAsia"/>
          <w:sz w:val="32"/>
          <w:szCs w:val="32"/>
          <w:lang w:val="en-US" w:eastAsia="zh-CN"/>
        </w:rPr>
      </w:pPr>
      <w:r>
        <w:rPr>
          <w:rFonts w:hint="eastAsia"/>
          <w:sz w:val="32"/>
          <w:szCs w:val="32"/>
          <w:lang w:val="en-US" w:eastAsia="zh-CN"/>
        </w:rPr>
        <w:t>（四）本办法由财政部负责解释。</w:t>
      </w:r>
    </w:p>
    <w:p>
      <w:pPr>
        <w:spacing w:line="360" w:lineRule="auto"/>
        <w:rPr>
          <w:rFonts w:hint="eastAsia"/>
          <w:sz w:val="32"/>
          <w:szCs w:val="32"/>
          <w:lang w:val="en-US" w:eastAsia="zh-CN"/>
        </w:rPr>
      </w:pPr>
      <w:r>
        <w:rPr>
          <w:rFonts w:hint="eastAsia"/>
          <w:sz w:val="32"/>
          <w:szCs w:val="32"/>
          <w:lang w:val="en-US" w:eastAsia="zh-CN"/>
        </w:rPr>
        <w:t>（五）本办法自发布之日起施行。</w:t>
      </w:r>
      <w:bookmarkStart w:id="1" w:name="2"/>
    </w:p>
    <w:p>
      <w:pPr>
        <w:spacing w:line="360" w:lineRule="auto"/>
        <w:rPr>
          <w:rFonts w:hint="eastAsia"/>
          <w:sz w:val="32"/>
          <w:szCs w:val="32"/>
          <w:lang w:val="en-US" w:eastAsia="zh-CN"/>
        </w:rPr>
      </w:pPr>
      <w:r>
        <w:rPr>
          <w:rFonts w:hint="eastAsia"/>
          <w:b/>
          <w:bCs/>
          <w:sz w:val="32"/>
          <w:szCs w:val="32"/>
          <w:lang w:val="en-US" w:eastAsia="zh-CN"/>
        </w:rPr>
        <w:t>二、</w:t>
      </w:r>
      <w:bookmarkEnd w:id="1"/>
      <w:r>
        <w:rPr>
          <w:rFonts w:hint="eastAsia"/>
          <w:b/>
          <w:bCs/>
          <w:sz w:val="32"/>
          <w:szCs w:val="32"/>
          <w:lang w:val="en-US" w:eastAsia="zh-CN"/>
        </w:rPr>
        <w:t>会计科目的修订</w:t>
      </w:r>
    </w:p>
    <w:p>
      <w:pPr>
        <w:spacing w:line="360" w:lineRule="auto"/>
        <w:rPr>
          <w:rFonts w:hint="eastAsia"/>
          <w:sz w:val="32"/>
          <w:szCs w:val="32"/>
          <w:lang w:val="en-US" w:eastAsia="zh-CN"/>
        </w:rPr>
      </w:pPr>
      <w:r>
        <w:rPr>
          <w:rFonts w:hint="eastAsia"/>
          <w:sz w:val="32"/>
          <w:szCs w:val="32"/>
          <w:lang w:val="en-US" w:eastAsia="zh-CN"/>
        </w:rPr>
        <w:t>（一）第121号科目委托贷款</w:t>
      </w:r>
    </w:p>
    <w:p>
      <w:pPr>
        <w:spacing w:line="360" w:lineRule="auto"/>
        <w:rPr>
          <w:rFonts w:hint="eastAsia"/>
          <w:sz w:val="32"/>
          <w:szCs w:val="32"/>
          <w:lang w:val="en-US" w:eastAsia="zh-CN"/>
        </w:rPr>
      </w:pPr>
      <w:r>
        <w:rPr>
          <w:rFonts w:hint="eastAsia"/>
          <w:sz w:val="32"/>
          <w:szCs w:val="32"/>
          <w:lang w:val="en-US" w:eastAsia="zh-CN"/>
        </w:rPr>
        <w:t>1．科目设置及核算内容</w:t>
      </w:r>
    </w:p>
    <w:p>
      <w:pPr>
        <w:spacing w:line="360" w:lineRule="auto"/>
        <w:rPr>
          <w:rFonts w:hint="eastAsia"/>
          <w:sz w:val="32"/>
          <w:szCs w:val="32"/>
          <w:lang w:val="en-US" w:eastAsia="zh-CN"/>
        </w:rPr>
      </w:pPr>
      <w:r>
        <w:rPr>
          <w:rFonts w:hint="eastAsia"/>
          <w:sz w:val="32"/>
          <w:szCs w:val="32"/>
          <w:lang w:val="en-US" w:eastAsia="zh-CN"/>
        </w:rPr>
        <w:t>本科目下设置“个人贷款”和“项目贷款”两个一级明细科目，分别核算按照规定在受托银行办理住房公积金个人住房贷款（以下简称个人住房贷款）和利用住房公积金发放的保障性住房建设项目贷款（以下简称建设项目贷款）的款项。其中，“个人贷款”一级明细科目按照借款人设置明细账，进行明细核算；“项目贷款”一级明细科目按照建设项目贷款借款人设置明细账，进行明细核算。</w:t>
      </w:r>
    </w:p>
    <w:p>
      <w:pPr>
        <w:spacing w:line="360" w:lineRule="auto"/>
        <w:rPr>
          <w:rFonts w:hint="eastAsia"/>
          <w:sz w:val="32"/>
          <w:szCs w:val="32"/>
          <w:lang w:val="en-US" w:eastAsia="zh-CN"/>
        </w:rPr>
      </w:pPr>
      <w:r>
        <w:rPr>
          <w:rFonts w:hint="eastAsia"/>
          <w:sz w:val="32"/>
          <w:szCs w:val="32"/>
          <w:lang w:val="en-US" w:eastAsia="zh-CN"/>
        </w:rPr>
        <w:t>2．主要账务处理</w:t>
      </w:r>
    </w:p>
    <w:p>
      <w:pPr>
        <w:spacing w:line="360" w:lineRule="auto"/>
        <w:rPr>
          <w:rFonts w:hint="eastAsia"/>
          <w:sz w:val="32"/>
          <w:szCs w:val="32"/>
          <w:lang w:val="en-US" w:eastAsia="zh-CN"/>
        </w:rPr>
      </w:pPr>
      <w:r>
        <w:rPr>
          <w:rFonts w:hint="eastAsia"/>
          <w:sz w:val="32"/>
          <w:szCs w:val="32"/>
          <w:lang w:val="en-US" w:eastAsia="zh-CN"/>
        </w:rPr>
        <w:t>（1）按规定发放建设项目贷款时，借记本科目（项目贷款），贷记“住房公积金存款”科目；收回住房公积金贷款时，按本息合计金额，借记“住房公积金存款”科目，按本金，贷记本科目（项目贷款），按已计利息，贷记“应收利息”科目，按未计利息，贷记“业务收入”科目。</w:t>
      </w:r>
    </w:p>
    <w:p>
      <w:pPr>
        <w:spacing w:line="360" w:lineRule="auto"/>
        <w:rPr>
          <w:rFonts w:hint="eastAsia"/>
          <w:sz w:val="32"/>
          <w:szCs w:val="32"/>
          <w:lang w:val="en-US" w:eastAsia="zh-CN"/>
        </w:rPr>
      </w:pPr>
      <w:r>
        <w:rPr>
          <w:rFonts w:hint="eastAsia"/>
          <w:sz w:val="32"/>
          <w:szCs w:val="32"/>
          <w:lang w:val="en-US" w:eastAsia="zh-CN"/>
        </w:rPr>
        <w:t>（2）对于借款合同约定到期未归还的建设项目贷款，应转作逾期贷款处理，自本科目转入“逾期贷款”科目，借记“逾期贷款”科目，贷记本科目（项目贷款）。</w:t>
      </w:r>
    </w:p>
    <w:p>
      <w:pPr>
        <w:spacing w:line="360" w:lineRule="auto"/>
        <w:rPr>
          <w:rFonts w:hint="eastAsia"/>
          <w:sz w:val="32"/>
          <w:szCs w:val="32"/>
          <w:lang w:val="en-US" w:eastAsia="zh-CN"/>
        </w:rPr>
      </w:pPr>
      <w:r>
        <w:rPr>
          <w:rFonts w:hint="eastAsia"/>
          <w:sz w:val="32"/>
          <w:szCs w:val="32"/>
          <w:lang w:val="en-US" w:eastAsia="zh-CN"/>
        </w:rPr>
        <w:t>（3）对借款人申请建设项目贷款提供的抵押物，应建立备查簿，详细登记抵押担保情况。</w:t>
      </w:r>
    </w:p>
    <w:p>
      <w:pPr>
        <w:spacing w:line="360" w:lineRule="auto"/>
        <w:rPr>
          <w:rFonts w:hint="eastAsia"/>
          <w:sz w:val="32"/>
          <w:szCs w:val="32"/>
          <w:lang w:val="en-US" w:eastAsia="zh-CN"/>
        </w:rPr>
      </w:pPr>
      <w:r>
        <w:rPr>
          <w:rFonts w:hint="eastAsia"/>
          <w:sz w:val="32"/>
          <w:szCs w:val="32"/>
          <w:lang w:val="en-US" w:eastAsia="zh-CN"/>
        </w:rPr>
        <w:t>（二）第122号科目逾期贷款</w:t>
      </w:r>
    </w:p>
    <w:p>
      <w:pPr>
        <w:spacing w:line="360" w:lineRule="auto"/>
        <w:rPr>
          <w:rFonts w:hint="eastAsia"/>
          <w:sz w:val="32"/>
          <w:szCs w:val="32"/>
          <w:lang w:val="en-US" w:eastAsia="zh-CN"/>
        </w:rPr>
      </w:pPr>
      <w:r>
        <w:rPr>
          <w:rFonts w:hint="eastAsia"/>
          <w:sz w:val="32"/>
          <w:szCs w:val="32"/>
          <w:lang w:val="en-US" w:eastAsia="zh-CN"/>
        </w:rPr>
        <w:t>1．科目设置及核算内容</w:t>
      </w:r>
    </w:p>
    <w:p>
      <w:pPr>
        <w:spacing w:line="360" w:lineRule="auto"/>
        <w:rPr>
          <w:rFonts w:hint="eastAsia"/>
          <w:sz w:val="32"/>
          <w:szCs w:val="32"/>
          <w:lang w:val="en-US" w:eastAsia="zh-CN"/>
        </w:rPr>
      </w:pPr>
      <w:r>
        <w:rPr>
          <w:rFonts w:hint="eastAsia"/>
          <w:sz w:val="32"/>
          <w:szCs w:val="32"/>
          <w:lang w:val="en-US" w:eastAsia="zh-CN"/>
        </w:rPr>
        <w:t>本科目下设置“个人逾期贷款”和“项目逾期贷款”两个一级明细科目，核算借款合同约定到期未归还的委托贷款。其中，“个人逾期贷款”一级明细科目按照借款人设置明细账，进行明细核算；“项目逾期贷款”一级明细科目按照建设项目贷款借款人设置明细账，进行明细核算。</w:t>
      </w:r>
    </w:p>
    <w:p>
      <w:pPr>
        <w:spacing w:line="360" w:lineRule="auto"/>
        <w:rPr>
          <w:rFonts w:hint="eastAsia"/>
          <w:sz w:val="32"/>
          <w:szCs w:val="32"/>
          <w:lang w:val="en-US" w:eastAsia="zh-CN"/>
        </w:rPr>
      </w:pPr>
      <w:r>
        <w:rPr>
          <w:rFonts w:hint="eastAsia"/>
          <w:sz w:val="32"/>
          <w:szCs w:val="32"/>
          <w:lang w:val="en-US" w:eastAsia="zh-CN"/>
        </w:rPr>
        <w:t>2．主要账务处理</w:t>
      </w:r>
    </w:p>
    <w:p>
      <w:pPr>
        <w:spacing w:line="360" w:lineRule="auto"/>
        <w:rPr>
          <w:rFonts w:hint="eastAsia"/>
          <w:sz w:val="32"/>
          <w:szCs w:val="32"/>
          <w:lang w:val="en-US" w:eastAsia="zh-CN"/>
        </w:rPr>
      </w:pPr>
      <w:r>
        <w:rPr>
          <w:rFonts w:hint="eastAsia"/>
          <w:sz w:val="32"/>
          <w:szCs w:val="32"/>
          <w:lang w:val="en-US" w:eastAsia="zh-CN"/>
        </w:rPr>
        <w:t>（1）对于借款合同约定到期未归还的建设项目贷款，应转作逾期贷款处理，按照建设项目贷款金额，借记本科目（项目逾期贷款--××借款人--本金），贷记“委托贷款”科目；按照已计提的应收利息金额，借记本科目（项目逾期贷款--××借款人--应收利息），贷记“应收利息”科目。建设项目贷款转入逾期贷款后，不计提孳生的逾期利息和罚息，但应当设置备查簿登记逾期贷款利息和罚息的借款人、计息时间、金额和性质等相关信息。</w:t>
      </w:r>
    </w:p>
    <w:p>
      <w:pPr>
        <w:spacing w:line="360" w:lineRule="auto"/>
        <w:rPr>
          <w:rFonts w:hint="eastAsia"/>
          <w:sz w:val="32"/>
          <w:szCs w:val="32"/>
          <w:lang w:val="en-US" w:eastAsia="zh-CN"/>
        </w:rPr>
      </w:pPr>
      <w:r>
        <w:rPr>
          <w:rFonts w:hint="eastAsia"/>
          <w:sz w:val="32"/>
          <w:szCs w:val="32"/>
          <w:lang w:val="en-US" w:eastAsia="zh-CN"/>
        </w:rPr>
        <w:t>收回逾期贷款的还款时，应首先冲减本金，按收回的金额，借记“住房公积金存款”科目，贷记本科目（项目逾期贷款--××借款人--本金）；本金全部收回后，收到的还款冲减逾期前已计未收利息，借记“住房公积金存款”科目，贷记本科目（项目逾期贷款--××借款人--应收利息）；逾期前已计未收利息收回后的还款作为逾期后的未计利息和罚息确认为当期业务收入，借记“住房公积金存款”科目，贷记“业务收入”科目。</w:t>
      </w:r>
    </w:p>
    <w:p>
      <w:pPr>
        <w:spacing w:line="360" w:lineRule="auto"/>
        <w:rPr>
          <w:rFonts w:hint="eastAsia"/>
          <w:sz w:val="32"/>
          <w:szCs w:val="32"/>
          <w:lang w:val="en-US" w:eastAsia="zh-CN"/>
        </w:rPr>
      </w:pPr>
      <w:r>
        <w:rPr>
          <w:rFonts w:hint="eastAsia"/>
          <w:sz w:val="32"/>
          <w:szCs w:val="32"/>
          <w:lang w:val="en-US" w:eastAsia="zh-CN"/>
        </w:rPr>
        <w:t>（2）按规定程序经批准核销的住房公积金呆账贷款，冲销提取的贷款风险准备时，借记“贷款风险准备”科目，贷记本科目（项目逾期贷款--××借款人）；同时，借记“住房公积金存款”科目，贷记“增值收益存款”科目。核销后贷款又收回的，按收回的建设项目贷款本息合计金额，借记“住房公积金存款”科目，贷记“贷款风险准备”科目；同时，借记“增值收益存款”科目，贷记“住房公积金存款”科目。</w:t>
      </w:r>
    </w:p>
    <w:p>
      <w:pPr>
        <w:spacing w:line="360" w:lineRule="auto"/>
        <w:rPr>
          <w:rFonts w:hint="eastAsia"/>
          <w:sz w:val="32"/>
          <w:szCs w:val="32"/>
          <w:lang w:val="en-US" w:eastAsia="zh-CN"/>
        </w:rPr>
      </w:pPr>
      <w:r>
        <w:rPr>
          <w:rFonts w:hint="eastAsia"/>
          <w:sz w:val="32"/>
          <w:szCs w:val="32"/>
          <w:lang w:val="en-US" w:eastAsia="zh-CN"/>
        </w:rPr>
        <w:t>（三）第301号科目贷款风险准备</w:t>
      </w:r>
    </w:p>
    <w:p>
      <w:pPr>
        <w:spacing w:line="360" w:lineRule="auto"/>
        <w:rPr>
          <w:rFonts w:hint="eastAsia"/>
          <w:sz w:val="32"/>
          <w:szCs w:val="32"/>
          <w:lang w:val="en-US" w:eastAsia="zh-CN"/>
        </w:rPr>
      </w:pPr>
      <w:r>
        <w:rPr>
          <w:rFonts w:hint="eastAsia"/>
          <w:sz w:val="32"/>
          <w:szCs w:val="32"/>
          <w:lang w:val="en-US" w:eastAsia="zh-CN"/>
        </w:rPr>
        <w:t>1．科目设置及核算内容</w:t>
      </w:r>
    </w:p>
    <w:p>
      <w:pPr>
        <w:spacing w:line="360" w:lineRule="auto"/>
        <w:rPr>
          <w:rFonts w:hint="eastAsia"/>
          <w:sz w:val="32"/>
          <w:szCs w:val="32"/>
          <w:lang w:val="en-US" w:eastAsia="zh-CN"/>
        </w:rPr>
      </w:pPr>
      <w:r>
        <w:rPr>
          <w:rFonts w:hint="eastAsia"/>
          <w:sz w:val="32"/>
          <w:szCs w:val="32"/>
          <w:lang w:val="en-US" w:eastAsia="zh-CN"/>
        </w:rPr>
        <w:t>本科目下设置“个人贷款风险准备”和“项目贷款风险准备”两个一级明细科目，分别核算按规定提取的个人住房贷款和建设项目贷款风险准备。</w:t>
      </w:r>
    </w:p>
    <w:p>
      <w:pPr>
        <w:spacing w:line="360" w:lineRule="auto"/>
        <w:rPr>
          <w:rFonts w:hint="eastAsia"/>
          <w:sz w:val="32"/>
          <w:szCs w:val="32"/>
          <w:lang w:val="en-US" w:eastAsia="zh-CN"/>
        </w:rPr>
      </w:pPr>
      <w:r>
        <w:rPr>
          <w:rFonts w:hint="eastAsia"/>
          <w:sz w:val="32"/>
          <w:szCs w:val="32"/>
          <w:lang w:val="en-US" w:eastAsia="zh-CN"/>
        </w:rPr>
        <w:t>2．主要账务处理</w:t>
      </w:r>
    </w:p>
    <w:p>
      <w:pPr>
        <w:spacing w:line="360" w:lineRule="auto"/>
        <w:rPr>
          <w:rFonts w:hint="eastAsia"/>
          <w:sz w:val="32"/>
          <w:szCs w:val="32"/>
          <w:lang w:val="en-US" w:eastAsia="zh-CN"/>
        </w:rPr>
      </w:pPr>
      <w:r>
        <w:rPr>
          <w:rFonts w:hint="eastAsia"/>
          <w:sz w:val="32"/>
          <w:szCs w:val="32"/>
          <w:lang w:val="en-US" w:eastAsia="zh-CN"/>
        </w:rPr>
        <w:t>（1）年度终了，应按规定对建设项目贷款提取风险准备。提取贷款风险准备时，借记“增值收益分配”科目，贷记本科目（项目贷款风险准备）。</w:t>
      </w:r>
    </w:p>
    <w:p>
      <w:pPr>
        <w:spacing w:line="360" w:lineRule="auto"/>
        <w:rPr>
          <w:rFonts w:hint="eastAsia"/>
          <w:sz w:val="32"/>
          <w:szCs w:val="32"/>
          <w:lang w:val="en-US" w:eastAsia="zh-CN"/>
        </w:rPr>
      </w:pPr>
      <w:r>
        <w:rPr>
          <w:rFonts w:hint="eastAsia"/>
          <w:sz w:val="32"/>
          <w:szCs w:val="32"/>
          <w:lang w:val="en-US" w:eastAsia="zh-CN"/>
        </w:rPr>
        <w:t>（2）对确实无法收回的逾期贷款，按规定程序经批准作为呆账的，冲销提取的贷款风险准备，借记本科目（项目贷款风险准备），贷记“逾期贷款”科目；同时，借记“住房公积金存款”科目，贷记“增值收益存款”科目。已确认并转销的呆账贷款，如果以后又收回的，按实际收回的本金和利息，借记“住房公积金存款”科目，贷记本科目（项目贷款风险准备）；同时，借记“增值收益存款”科目，贷记“住房公积金存款”科目。</w:t>
      </w:r>
    </w:p>
    <w:p>
      <w:pPr>
        <w:spacing w:line="360" w:lineRule="auto"/>
        <w:rPr>
          <w:rFonts w:hint="eastAsia"/>
          <w:sz w:val="32"/>
          <w:szCs w:val="32"/>
          <w:lang w:val="en-US" w:eastAsia="zh-CN"/>
        </w:rPr>
      </w:pPr>
      <w:r>
        <w:rPr>
          <w:rFonts w:hint="eastAsia"/>
          <w:sz w:val="32"/>
          <w:szCs w:val="32"/>
          <w:lang w:val="en-US" w:eastAsia="zh-CN"/>
        </w:rPr>
        <w:t>（四）第321号科目增值收益分配</w:t>
      </w:r>
    </w:p>
    <w:p>
      <w:pPr>
        <w:spacing w:line="360" w:lineRule="auto"/>
        <w:rPr>
          <w:rFonts w:hint="eastAsia"/>
          <w:sz w:val="32"/>
          <w:szCs w:val="32"/>
          <w:lang w:val="en-US" w:eastAsia="zh-CN"/>
        </w:rPr>
      </w:pPr>
      <w:r>
        <w:rPr>
          <w:rFonts w:hint="eastAsia"/>
          <w:sz w:val="32"/>
          <w:szCs w:val="32"/>
          <w:lang w:val="en-US" w:eastAsia="zh-CN"/>
        </w:rPr>
        <w:t>1．科目设置及核算内容</w:t>
      </w:r>
    </w:p>
    <w:p>
      <w:pPr>
        <w:spacing w:line="360" w:lineRule="auto"/>
        <w:rPr>
          <w:rFonts w:hint="eastAsia"/>
          <w:sz w:val="32"/>
          <w:szCs w:val="32"/>
          <w:lang w:val="en-US" w:eastAsia="zh-CN"/>
        </w:rPr>
      </w:pPr>
      <w:r>
        <w:rPr>
          <w:rFonts w:hint="eastAsia"/>
          <w:sz w:val="32"/>
          <w:szCs w:val="32"/>
          <w:lang w:val="en-US" w:eastAsia="zh-CN"/>
        </w:rPr>
        <w:t>本科目“提取贷款风险准备”一级明细科目下设置“提取个人贷款风险准备”和“提取项目贷款风险准备”两个二级明细科目，分别核算按有关标准提取的、从增值收益中列支的个人住房贷款风险准备和建设项目贷款风险准备。</w:t>
      </w:r>
    </w:p>
    <w:p>
      <w:pPr>
        <w:spacing w:line="360" w:lineRule="auto"/>
        <w:rPr>
          <w:rFonts w:hint="eastAsia"/>
          <w:sz w:val="32"/>
          <w:szCs w:val="32"/>
          <w:lang w:val="en-US" w:eastAsia="zh-CN"/>
        </w:rPr>
      </w:pPr>
      <w:r>
        <w:rPr>
          <w:rFonts w:hint="eastAsia"/>
          <w:sz w:val="32"/>
          <w:szCs w:val="32"/>
          <w:lang w:val="en-US" w:eastAsia="zh-CN"/>
        </w:rPr>
        <w:t>2．主要账务处理</w:t>
      </w:r>
    </w:p>
    <w:p>
      <w:pPr>
        <w:spacing w:line="360" w:lineRule="auto"/>
        <w:rPr>
          <w:rFonts w:hint="eastAsia"/>
          <w:sz w:val="32"/>
          <w:szCs w:val="32"/>
          <w:lang w:val="en-US" w:eastAsia="zh-CN"/>
        </w:rPr>
      </w:pPr>
      <w:r>
        <w:rPr>
          <w:rFonts w:hint="eastAsia"/>
          <w:sz w:val="32"/>
          <w:szCs w:val="32"/>
          <w:lang w:val="en-US" w:eastAsia="zh-CN"/>
        </w:rPr>
        <w:t>按规定标准提取建设项目贷款风险准备时，借记本科目（提取贷款风险准备--提取项目贷款风险准备），贷记“贷款风险准备”科目。</w:t>
      </w:r>
    </w:p>
    <w:p>
      <w:pPr>
        <w:spacing w:line="360" w:lineRule="auto"/>
        <w:rPr>
          <w:rFonts w:hint="eastAsia"/>
          <w:sz w:val="32"/>
          <w:szCs w:val="32"/>
          <w:lang w:val="en-US" w:eastAsia="zh-CN"/>
        </w:rPr>
      </w:pPr>
      <w:r>
        <w:rPr>
          <w:rFonts w:hint="eastAsia"/>
          <w:sz w:val="32"/>
          <w:szCs w:val="32"/>
          <w:lang w:val="en-US" w:eastAsia="zh-CN"/>
        </w:rPr>
        <w:t>（五）第401号科目业务收入</w:t>
      </w:r>
    </w:p>
    <w:p>
      <w:pPr>
        <w:spacing w:line="360" w:lineRule="auto"/>
        <w:rPr>
          <w:rFonts w:hint="eastAsia"/>
          <w:sz w:val="32"/>
          <w:szCs w:val="32"/>
          <w:lang w:val="en-US" w:eastAsia="zh-CN"/>
        </w:rPr>
      </w:pPr>
      <w:r>
        <w:rPr>
          <w:rFonts w:hint="eastAsia"/>
          <w:sz w:val="32"/>
          <w:szCs w:val="32"/>
          <w:lang w:val="en-US" w:eastAsia="zh-CN"/>
        </w:rPr>
        <w:t>1．科目设置及核算内容</w:t>
      </w:r>
    </w:p>
    <w:p>
      <w:pPr>
        <w:spacing w:line="360" w:lineRule="auto"/>
        <w:rPr>
          <w:rFonts w:hint="eastAsia"/>
          <w:sz w:val="32"/>
          <w:szCs w:val="32"/>
          <w:lang w:val="en-US" w:eastAsia="zh-CN"/>
        </w:rPr>
      </w:pPr>
      <w:r>
        <w:rPr>
          <w:rFonts w:hint="eastAsia"/>
          <w:sz w:val="32"/>
          <w:szCs w:val="32"/>
          <w:lang w:val="en-US" w:eastAsia="zh-CN"/>
        </w:rPr>
        <w:t>（1）本科目“委托贷款利息收入”一级明细科目下增设“个人贷款利息收入”和“项目贷款利息收入”两个二级明细科目，分别核算发放个人住房贷款和建设项目贷款取得的利息收入。</w:t>
      </w:r>
    </w:p>
    <w:p>
      <w:pPr>
        <w:spacing w:line="360" w:lineRule="auto"/>
        <w:rPr>
          <w:rFonts w:hint="eastAsia"/>
          <w:sz w:val="32"/>
          <w:szCs w:val="32"/>
          <w:lang w:val="en-US" w:eastAsia="zh-CN"/>
        </w:rPr>
      </w:pPr>
      <w:r>
        <w:rPr>
          <w:rFonts w:hint="eastAsia"/>
          <w:sz w:val="32"/>
          <w:szCs w:val="32"/>
          <w:lang w:val="en-US" w:eastAsia="zh-CN"/>
        </w:rPr>
        <w:t>（2）本科目“其他收入”一级明细科目下设置“个人贷款逾期罚息收入”和“项目贷款逾期罚息收入”两个二级明细科目，分别核算发放的个人住房贷款和建设项目贷款逾期罚息收入。</w:t>
      </w:r>
    </w:p>
    <w:p>
      <w:pPr>
        <w:spacing w:line="360" w:lineRule="auto"/>
        <w:rPr>
          <w:rFonts w:hint="eastAsia"/>
          <w:sz w:val="32"/>
          <w:szCs w:val="32"/>
          <w:lang w:val="en-US" w:eastAsia="zh-CN"/>
        </w:rPr>
      </w:pPr>
      <w:r>
        <w:rPr>
          <w:rFonts w:hint="eastAsia"/>
          <w:sz w:val="32"/>
          <w:szCs w:val="32"/>
          <w:lang w:val="en-US" w:eastAsia="zh-CN"/>
        </w:rPr>
        <w:t>2．主要账务处理</w:t>
      </w:r>
    </w:p>
    <w:p>
      <w:pPr>
        <w:spacing w:line="360" w:lineRule="auto"/>
        <w:rPr>
          <w:rFonts w:hint="eastAsia"/>
          <w:sz w:val="32"/>
          <w:szCs w:val="32"/>
          <w:lang w:val="en-US" w:eastAsia="zh-CN"/>
        </w:rPr>
      </w:pPr>
      <w:r>
        <w:rPr>
          <w:rFonts w:hint="eastAsia"/>
          <w:sz w:val="32"/>
          <w:szCs w:val="32"/>
          <w:lang w:val="en-US" w:eastAsia="zh-CN"/>
        </w:rPr>
        <w:t>（1）期末，按计算的当期由建设项目贷款形成的应收未收委托贷款利息金额，借记“应收利息”科目，贷记本科目（委托贷款利息收入--项目贷款利息收入）。收回建设项目贷款，按本息合计金额，借记“住房公积金存款”科目，按本金，贷记“委托贷款”科目，按已计利息，贷记“应收利息”科目，按未计利息，贷记本科目（委托贷款利息收入--项目贷款利息收入）。</w:t>
      </w:r>
    </w:p>
    <w:p>
      <w:pPr>
        <w:spacing w:line="360" w:lineRule="auto"/>
        <w:rPr>
          <w:rFonts w:hint="eastAsia"/>
          <w:sz w:val="32"/>
          <w:szCs w:val="32"/>
          <w:lang w:val="en-US" w:eastAsia="zh-CN"/>
        </w:rPr>
      </w:pPr>
      <w:r>
        <w:rPr>
          <w:rFonts w:hint="eastAsia"/>
          <w:sz w:val="32"/>
          <w:szCs w:val="32"/>
          <w:lang w:val="en-US" w:eastAsia="zh-CN"/>
        </w:rPr>
        <w:t>（2）对于建设项目贷款的逾期利息和罚息收入，应当在收到时，按收到的利息和罚息金额，借记“住房公积金存款”科目，贷记本科目（其他收入--项目贷款逾期罚息收入）。</w:t>
      </w:r>
    </w:p>
    <w:p>
      <w:pPr>
        <w:spacing w:line="360" w:lineRule="auto"/>
        <w:rPr>
          <w:rFonts w:hint="eastAsia"/>
          <w:sz w:val="32"/>
          <w:szCs w:val="32"/>
          <w:lang w:val="en-US" w:eastAsia="zh-CN"/>
        </w:rPr>
      </w:pPr>
      <w:r>
        <w:rPr>
          <w:rFonts w:hint="eastAsia"/>
          <w:sz w:val="32"/>
          <w:szCs w:val="32"/>
          <w:lang w:val="en-US" w:eastAsia="zh-CN"/>
        </w:rPr>
        <w:t>（六）第411号科目业务支出</w:t>
      </w:r>
    </w:p>
    <w:p>
      <w:pPr>
        <w:spacing w:line="360" w:lineRule="auto"/>
        <w:rPr>
          <w:rFonts w:hint="eastAsia"/>
          <w:sz w:val="32"/>
          <w:szCs w:val="32"/>
          <w:lang w:val="en-US" w:eastAsia="zh-CN"/>
        </w:rPr>
      </w:pPr>
      <w:r>
        <w:rPr>
          <w:rFonts w:hint="eastAsia"/>
          <w:sz w:val="32"/>
          <w:szCs w:val="32"/>
          <w:lang w:val="en-US" w:eastAsia="zh-CN"/>
        </w:rPr>
        <w:t>1．科目设置及核算内容</w:t>
      </w:r>
    </w:p>
    <w:p>
      <w:pPr>
        <w:spacing w:line="360" w:lineRule="auto"/>
        <w:rPr>
          <w:rFonts w:hint="eastAsia"/>
          <w:sz w:val="32"/>
          <w:szCs w:val="32"/>
          <w:lang w:val="en-US" w:eastAsia="zh-CN"/>
        </w:rPr>
      </w:pPr>
      <w:r>
        <w:rPr>
          <w:rFonts w:hint="eastAsia"/>
          <w:sz w:val="32"/>
          <w:szCs w:val="32"/>
          <w:lang w:val="en-US" w:eastAsia="zh-CN"/>
        </w:rPr>
        <w:t>（1）本科目“委托贷款手续费支出”一级明细科目下设置“个人贷款手续费支出”和“项目贷款手续费支出”两个二级明细科目，分别核算公积金中心委托银行发放个人住房贷款和建设项目贷款支付的手续费支出。</w:t>
      </w:r>
    </w:p>
    <w:p>
      <w:pPr>
        <w:spacing w:line="360" w:lineRule="auto"/>
        <w:rPr>
          <w:rFonts w:hint="eastAsia"/>
          <w:sz w:val="32"/>
          <w:szCs w:val="32"/>
          <w:lang w:val="en-US" w:eastAsia="zh-CN"/>
        </w:rPr>
      </w:pPr>
      <w:r>
        <w:rPr>
          <w:rFonts w:hint="eastAsia"/>
          <w:sz w:val="32"/>
          <w:szCs w:val="32"/>
          <w:lang w:val="en-US" w:eastAsia="zh-CN"/>
        </w:rPr>
        <w:t>（2）本科目下设置“项目贷款其他支出”一级明细科目，核算建设项目贷款发生的评估费、诉讼费等费用。</w:t>
      </w:r>
    </w:p>
    <w:p>
      <w:pPr>
        <w:spacing w:line="360" w:lineRule="auto"/>
        <w:rPr>
          <w:rFonts w:hint="eastAsia"/>
          <w:sz w:val="32"/>
          <w:szCs w:val="32"/>
          <w:lang w:val="en-US" w:eastAsia="zh-CN"/>
        </w:rPr>
      </w:pPr>
      <w:r>
        <w:rPr>
          <w:rFonts w:hint="eastAsia"/>
          <w:sz w:val="32"/>
          <w:szCs w:val="32"/>
          <w:lang w:val="en-US" w:eastAsia="zh-CN"/>
        </w:rPr>
        <w:t>2．主要账务处理</w:t>
      </w:r>
    </w:p>
    <w:p>
      <w:pPr>
        <w:spacing w:line="360" w:lineRule="auto"/>
        <w:rPr>
          <w:rFonts w:hint="eastAsia"/>
          <w:sz w:val="32"/>
          <w:szCs w:val="32"/>
          <w:lang w:val="en-US" w:eastAsia="zh-CN"/>
        </w:rPr>
      </w:pPr>
      <w:r>
        <w:rPr>
          <w:rFonts w:hint="eastAsia"/>
          <w:sz w:val="32"/>
          <w:szCs w:val="32"/>
          <w:lang w:val="en-US" w:eastAsia="zh-CN"/>
        </w:rPr>
        <w:t>（1）按照规定支付给委托银行发放建设项目贷款的手续费金额，借记本科目（委托贷款手续费支出--项目贷款手续费支出），贷记“住房公积金存款”科目。</w:t>
      </w:r>
    </w:p>
    <w:p>
      <w:pPr>
        <w:spacing w:line="360" w:lineRule="auto"/>
        <w:rPr>
          <w:rFonts w:hint="eastAsia"/>
          <w:sz w:val="32"/>
          <w:szCs w:val="32"/>
          <w:lang w:val="en-US" w:eastAsia="zh-CN"/>
        </w:rPr>
      </w:pPr>
      <w:r>
        <w:rPr>
          <w:rFonts w:hint="eastAsia"/>
          <w:sz w:val="32"/>
          <w:szCs w:val="32"/>
          <w:lang w:val="en-US" w:eastAsia="zh-CN"/>
        </w:rPr>
        <w:t>（2）支付建设项目贷款发生的评估费、诉讼费等费用时，按照实际支付金额，借记本科目（项目贷款其他支出），贷记“住房公积金存款”科目。其中，评估工作应委托通过公开招投标等方式确定的具有专业资质和相关经验的中介机构完成，发生的评估费支出须经同级财政部门审核批准。</w:t>
      </w:r>
      <w:bookmarkStart w:id="2" w:name="3"/>
    </w:p>
    <w:p>
      <w:pPr>
        <w:spacing w:line="360" w:lineRule="auto"/>
        <w:rPr>
          <w:rFonts w:hint="eastAsia"/>
          <w:b/>
          <w:bCs/>
          <w:sz w:val="32"/>
          <w:szCs w:val="32"/>
          <w:lang w:val="en-US" w:eastAsia="zh-CN"/>
        </w:rPr>
      </w:pPr>
      <w:r>
        <w:rPr>
          <w:rFonts w:hint="eastAsia"/>
          <w:b/>
          <w:bCs/>
          <w:sz w:val="32"/>
          <w:szCs w:val="32"/>
          <w:lang w:val="en-US" w:eastAsia="zh-CN"/>
        </w:rPr>
        <w:t>三、</w:t>
      </w:r>
      <w:bookmarkEnd w:id="2"/>
      <w:r>
        <w:rPr>
          <w:rFonts w:hint="eastAsia"/>
          <w:b/>
          <w:bCs/>
          <w:sz w:val="32"/>
          <w:szCs w:val="32"/>
          <w:lang w:val="en-US" w:eastAsia="zh-CN"/>
        </w:rPr>
        <w:t>建设项目贷款情况表</w:t>
      </w:r>
    </w:p>
    <w:p>
      <w:pPr>
        <w:spacing w:line="360" w:lineRule="auto"/>
        <w:rPr>
          <w:rFonts w:hint="eastAsia"/>
          <w:sz w:val="32"/>
          <w:szCs w:val="32"/>
          <w:lang w:val="en-US" w:eastAsia="zh-CN"/>
        </w:rPr>
      </w:pPr>
      <w:r>
        <w:rPr>
          <w:rFonts w:hint="eastAsia"/>
          <w:sz w:val="32"/>
          <w:szCs w:val="32"/>
          <w:lang w:val="en-US" w:eastAsia="zh-CN"/>
        </w:rPr>
        <w:t>（一）报表样式</w:t>
      </w:r>
    </w:p>
    <w:p>
      <w:pPr>
        <w:spacing w:line="360" w:lineRule="auto"/>
        <w:rPr>
          <w:rFonts w:hint="eastAsia"/>
          <w:sz w:val="32"/>
          <w:szCs w:val="32"/>
          <w:lang w:val="en-US" w:eastAsia="zh-CN"/>
        </w:rPr>
      </w:pPr>
      <w:r>
        <w:rPr>
          <w:rFonts w:hint="eastAsia"/>
          <w:sz w:val="32"/>
          <w:szCs w:val="32"/>
          <w:lang w:val="en-US" w:eastAsia="zh-CN"/>
        </w:rPr>
        <w:t>增加《住房公积金支持保障性住房建设项目贷款情况表》（会住房01表附表1），样式如下（见下页）：</w:t>
      </w:r>
    </w:p>
    <w:p>
      <w:pPr>
        <w:spacing w:line="360" w:lineRule="auto"/>
        <w:rPr>
          <w:rFonts w:hint="eastAsia"/>
          <w:sz w:val="32"/>
          <w:szCs w:val="32"/>
          <w:lang w:val="en-US" w:eastAsia="zh-CN"/>
        </w:rPr>
      </w:pPr>
      <w:r>
        <w:rPr>
          <w:rFonts w:hint="eastAsia"/>
          <w:sz w:val="32"/>
          <w:szCs w:val="32"/>
          <w:lang w:val="en-US" w:eastAsia="zh-CN"/>
        </w:rPr>
        <w:t>住房公积金支持保障性住房建设项目贷款情况表</w:t>
      </w:r>
    </w:p>
    <w:p>
      <w:pPr>
        <w:spacing w:line="360" w:lineRule="auto"/>
        <w:rPr>
          <w:rFonts w:hint="eastAsia"/>
          <w:sz w:val="32"/>
          <w:szCs w:val="32"/>
          <w:lang w:val="en-US" w:eastAsia="zh-CN"/>
        </w:rPr>
      </w:pPr>
      <w:r>
        <w:rPr>
          <w:rFonts w:hint="eastAsia"/>
          <w:sz w:val="32"/>
          <w:szCs w:val="32"/>
          <w:lang w:val="en-US" w:eastAsia="zh-CN"/>
        </w:rPr>
        <w:t>会住房01表附表1</w:t>
      </w:r>
    </w:p>
    <w:p>
      <w:pPr>
        <w:spacing w:line="360" w:lineRule="auto"/>
        <w:rPr>
          <w:rFonts w:hint="eastAsia"/>
          <w:sz w:val="32"/>
          <w:szCs w:val="32"/>
        </w:rPr>
      </w:pPr>
      <w:r>
        <w:rPr>
          <w:rFonts w:hint="eastAsia"/>
          <w:sz w:val="32"/>
          <w:szCs w:val="32"/>
          <w:lang w:val="en-US" w:eastAsia="zh-CN"/>
        </w:rPr>
        <w:t>编制单位：　 　 年第季度　单位：元</w:t>
      </w:r>
    </w:p>
    <w:tbl>
      <w:tblPr>
        <w:tblStyle w:val="5"/>
        <w:tblW w:w="8359" w:type="dxa"/>
        <w:tblCellSpacing w:w="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0F5FE"/>
        <w:tblLayout w:type="fixed"/>
        <w:tblCellMar>
          <w:top w:w="15" w:type="dxa"/>
          <w:left w:w="15" w:type="dxa"/>
          <w:bottom w:w="15" w:type="dxa"/>
          <w:right w:w="15" w:type="dxa"/>
        </w:tblCellMar>
      </w:tblPr>
      <w:tblGrid>
        <w:gridCol w:w="984"/>
        <w:gridCol w:w="526"/>
        <w:gridCol w:w="526"/>
        <w:gridCol w:w="752"/>
        <w:gridCol w:w="526"/>
        <w:gridCol w:w="526"/>
        <w:gridCol w:w="752"/>
        <w:gridCol w:w="752"/>
        <w:gridCol w:w="752"/>
        <w:gridCol w:w="752"/>
        <w:gridCol w:w="752"/>
        <w:gridCol w:w="7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0F5FE"/>
          <w:tblLayout w:type="fixed"/>
          <w:tblCellMar>
            <w:top w:w="15" w:type="dxa"/>
            <w:left w:w="15" w:type="dxa"/>
            <w:bottom w:w="15" w:type="dxa"/>
            <w:right w:w="15" w:type="dxa"/>
          </w:tblCellMar>
        </w:tblPrEx>
        <w:trPr>
          <w:tblCellSpacing w:w="7" w:type="dxa"/>
        </w:trPr>
        <w:tc>
          <w:tcPr>
            <w:tcW w:w="963" w:type="dxa"/>
            <w:vMerge w:val="restart"/>
            <w:shd w:val="clear" w:color="auto" w:fill="F0F5FE"/>
            <w:vAlign w:val="center"/>
          </w:tcPr>
          <w:p>
            <w:pPr>
              <w:spacing w:line="360" w:lineRule="auto"/>
              <w:rPr>
                <w:rFonts w:hint="eastAsia"/>
                <w:sz w:val="32"/>
                <w:szCs w:val="32"/>
              </w:rPr>
            </w:pPr>
            <w:r>
              <w:rPr>
                <w:rFonts w:hint="eastAsia"/>
                <w:sz w:val="32"/>
                <w:szCs w:val="32"/>
              </w:rPr>
              <w:t>　序号</w:t>
            </w:r>
          </w:p>
        </w:tc>
        <w:tc>
          <w:tcPr>
            <w:tcW w:w="512" w:type="dxa"/>
            <w:vMerge w:val="restart"/>
            <w:shd w:val="clear" w:color="auto" w:fill="F0F5FE"/>
            <w:vAlign w:val="center"/>
          </w:tcPr>
          <w:p>
            <w:pPr>
              <w:spacing w:line="360" w:lineRule="auto"/>
              <w:rPr>
                <w:rFonts w:hint="eastAsia"/>
                <w:sz w:val="32"/>
                <w:szCs w:val="32"/>
              </w:rPr>
            </w:pPr>
            <w:r>
              <w:rPr>
                <w:rFonts w:hint="eastAsia"/>
                <w:sz w:val="32"/>
                <w:szCs w:val="32"/>
              </w:rPr>
              <w:t>项目</w:t>
            </w:r>
          </w:p>
          <w:p>
            <w:pPr>
              <w:spacing w:line="360" w:lineRule="auto"/>
              <w:rPr>
                <w:rFonts w:hint="eastAsia"/>
                <w:sz w:val="32"/>
                <w:szCs w:val="32"/>
              </w:rPr>
            </w:pPr>
            <w:r>
              <w:rPr>
                <w:rFonts w:hint="eastAsia"/>
                <w:sz w:val="32"/>
                <w:szCs w:val="32"/>
              </w:rPr>
              <w:t>名称</w:t>
            </w:r>
          </w:p>
        </w:tc>
        <w:tc>
          <w:tcPr>
            <w:tcW w:w="512" w:type="dxa"/>
            <w:vMerge w:val="restart"/>
            <w:shd w:val="clear" w:color="auto" w:fill="F0F5FE"/>
            <w:vAlign w:val="center"/>
          </w:tcPr>
          <w:p>
            <w:pPr>
              <w:spacing w:line="360" w:lineRule="auto"/>
              <w:rPr>
                <w:rFonts w:hint="eastAsia"/>
                <w:sz w:val="32"/>
                <w:szCs w:val="32"/>
              </w:rPr>
            </w:pPr>
            <w:r>
              <w:rPr>
                <w:rFonts w:hint="eastAsia"/>
                <w:sz w:val="32"/>
                <w:szCs w:val="32"/>
              </w:rPr>
              <w:t>项目编码</w:t>
            </w:r>
          </w:p>
        </w:tc>
        <w:tc>
          <w:tcPr>
            <w:tcW w:w="738" w:type="dxa"/>
            <w:vMerge w:val="restart"/>
            <w:shd w:val="clear" w:color="auto" w:fill="F0F5FE"/>
            <w:vAlign w:val="center"/>
          </w:tcPr>
          <w:p>
            <w:pPr>
              <w:spacing w:line="360" w:lineRule="auto"/>
              <w:rPr>
                <w:rFonts w:hint="eastAsia"/>
                <w:sz w:val="32"/>
                <w:szCs w:val="32"/>
              </w:rPr>
            </w:pPr>
            <w:r>
              <w:rPr>
                <w:rFonts w:hint="eastAsia"/>
                <w:sz w:val="32"/>
                <w:szCs w:val="32"/>
              </w:rPr>
              <w:t>借款人</w:t>
            </w:r>
          </w:p>
        </w:tc>
        <w:tc>
          <w:tcPr>
            <w:tcW w:w="1038" w:type="dxa"/>
            <w:gridSpan w:val="2"/>
            <w:shd w:val="clear" w:color="auto" w:fill="F0F5FE"/>
            <w:vAlign w:val="top"/>
          </w:tcPr>
          <w:p>
            <w:pPr>
              <w:spacing w:line="360" w:lineRule="auto"/>
              <w:rPr>
                <w:rFonts w:hint="eastAsia"/>
                <w:sz w:val="32"/>
                <w:szCs w:val="32"/>
              </w:rPr>
            </w:pPr>
            <w:r>
              <w:rPr>
                <w:rFonts w:hint="eastAsia"/>
                <w:sz w:val="32"/>
                <w:szCs w:val="32"/>
              </w:rPr>
              <w:t>期初项目贷款余额</w:t>
            </w:r>
          </w:p>
        </w:tc>
        <w:tc>
          <w:tcPr>
            <w:tcW w:w="1490" w:type="dxa"/>
            <w:gridSpan w:val="2"/>
            <w:shd w:val="clear" w:color="auto" w:fill="F0F5FE"/>
            <w:vAlign w:val="center"/>
          </w:tcPr>
          <w:p>
            <w:pPr>
              <w:spacing w:line="360" w:lineRule="auto"/>
              <w:rPr>
                <w:rFonts w:hint="eastAsia"/>
                <w:sz w:val="32"/>
                <w:szCs w:val="32"/>
              </w:rPr>
            </w:pPr>
            <w:r>
              <w:rPr>
                <w:rFonts w:hint="eastAsia"/>
                <w:sz w:val="32"/>
                <w:szCs w:val="32"/>
              </w:rPr>
              <w:t>发放项目贷款本金</w:t>
            </w:r>
          </w:p>
        </w:tc>
        <w:tc>
          <w:tcPr>
            <w:tcW w:w="1490" w:type="dxa"/>
            <w:gridSpan w:val="2"/>
            <w:shd w:val="clear" w:color="auto" w:fill="F0F5FE"/>
            <w:vAlign w:val="center"/>
          </w:tcPr>
          <w:p>
            <w:pPr>
              <w:spacing w:line="360" w:lineRule="auto"/>
              <w:rPr>
                <w:rFonts w:hint="eastAsia"/>
                <w:sz w:val="32"/>
                <w:szCs w:val="32"/>
              </w:rPr>
            </w:pPr>
            <w:r>
              <w:rPr>
                <w:rFonts w:hint="eastAsia"/>
                <w:sz w:val="32"/>
                <w:szCs w:val="32"/>
              </w:rPr>
              <w:t>收回项目贷款本金</w:t>
            </w:r>
          </w:p>
        </w:tc>
        <w:tc>
          <w:tcPr>
            <w:tcW w:w="1490" w:type="dxa"/>
            <w:gridSpan w:val="2"/>
            <w:shd w:val="clear" w:color="auto" w:fill="F0F5FE"/>
            <w:vAlign w:val="center"/>
          </w:tcPr>
          <w:p>
            <w:pPr>
              <w:spacing w:line="360" w:lineRule="auto"/>
              <w:rPr>
                <w:rFonts w:hint="eastAsia"/>
                <w:sz w:val="32"/>
                <w:szCs w:val="32"/>
              </w:rPr>
            </w:pPr>
            <w:r>
              <w:rPr>
                <w:rFonts w:hint="eastAsia"/>
                <w:sz w:val="32"/>
                <w:szCs w:val="32"/>
              </w:rPr>
              <w:t>期末项目贷款余额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0F5FE"/>
          <w:tblLayout w:type="fixed"/>
          <w:tblCellMar>
            <w:top w:w="15" w:type="dxa"/>
            <w:left w:w="15" w:type="dxa"/>
            <w:bottom w:w="15" w:type="dxa"/>
            <w:right w:w="15" w:type="dxa"/>
          </w:tblCellMar>
        </w:tblPrEx>
        <w:trPr>
          <w:tblCellSpacing w:w="7" w:type="dxa"/>
        </w:trPr>
        <w:tc>
          <w:tcPr>
            <w:tcW w:w="963" w:type="dxa"/>
            <w:vMerge w:val="continue"/>
            <w:shd w:val="clear" w:color="auto" w:fill="F0F5FE"/>
            <w:vAlign w:val="center"/>
          </w:tcPr>
          <w:p>
            <w:pPr>
              <w:spacing w:line="360" w:lineRule="auto"/>
              <w:rPr>
                <w:rFonts w:hint="eastAsia"/>
                <w:sz w:val="32"/>
                <w:szCs w:val="32"/>
              </w:rPr>
            </w:pPr>
          </w:p>
        </w:tc>
        <w:tc>
          <w:tcPr>
            <w:tcW w:w="512" w:type="dxa"/>
            <w:vMerge w:val="continue"/>
            <w:shd w:val="clear" w:color="auto" w:fill="F0F5FE"/>
            <w:vAlign w:val="center"/>
          </w:tcPr>
          <w:p>
            <w:pPr>
              <w:spacing w:line="360" w:lineRule="auto"/>
              <w:rPr>
                <w:rFonts w:hint="eastAsia"/>
                <w:sz w:val="32"/>
                <w:szCs w:val="32"/>
              </w:rPr>
            </w:pPr>
          </w:p>
        </w:tc>
        <w:tc>
          <w:tcPr>
            <w:tcW w:w="512" w:type="dxa"/>
            <w:vMerge w:val="continue"/>
            <w:shd w:val="clear" w:color="auto" w:fill="F0F5FE"/>
            <w:vAlign w:val="center"/>
          </w:tcPr>
          <w:p>
            <w:pPr>
              <w:spacing w:line="360" w:lineRule="auto"/>
              <w:rPr>
                <w:rFonts w:hint="eastAsia"/>
                <w:sz w:val="32"/>
                <w:szCs w:val="32"/>
              </w:rPr>
            </w:pPr>
          </w:p>
        </w:tc>
        <w:tc>
          <w:tcPr>
            <w:tcW w:w="738" w:type="dxa"/>
            <w:vMerge w:val="continue"/>
            <w:shd w:val="clear" w:color="auto" w:fill="F0F5FE"/>
            <w:vAlign w:val="center"/>
          </w:tcPr>
          <w:p>
            <w:pPr>
              <w:spacing w:line="360" w:lineRule="auto"/>
              <w:rPr>
                <w:rFonts w:hint="eastAsia"/>
                <w:sz w:val="32"/>
                <w:szCs w:val="32"/>
              </w:rPr>
            </w:pPr>
          </w:p>
        </w:tc>
        <w:tc>
          <w:tcPr>
            <w:tcW w:w="512" w:type="dxa"/>
            <w:shd w:val="clear" w:color="auto" w:fill="F0F5FE"/>
            <w:vAlign w:val="center"/>
          </w:tcPr>
          <w:p>
            <w:pPr>
              <w:spacing w:line="360" w:lineRule="auto"/>
              <w:rPr>
                <w:rFonts w:hint="eastAsia"/>
                <w:sz w:val="32"/>
                <w:szCs w:val="32"/>
              </w:rPr>
            </w:pPr>
            <w:r>
              <w:rPr>
                <w:rFonts w:hint="eastAsia"/>
                <w:sz w:val="32"/>
                <w:szCs w:val="32"/>
              </w:rPr>
              <w:t>期初余额</w:t>
            </w:r>
          </w:p>
        </w:tc>
        <w:tc>
          <w:tcPr>
            <w:tcW w:w="512" w:type="dxa"/>
            <w:shd w:val="clear" w:color="auto" w:fill="F0F5FE"/>
            <w:vAlign w:val="center"/>
          </w:tcPr>
          <w:p>
            <w:pPr>
              <w:spacing w:line="360" w:lineRule="auto"/>
              <w:rPr>
                <w:rFonts w:hint="eastAsia"/>
                <w:sz w:val="32"/>
                <w:szCs w:val="32"/>
              </w:rPr>
            </w:pPr>
            <w:r>
              <w:rPr>
                <w:rFonts w:hint="eastAsia"/>
                <w:sz w:val="32"/>
                <w:szCs w:val="32"/>
              </w:rPr>
              <w:t>其中：逾期贷款余额</w:t>
            </w:r>
          </w:p>
        </w:tc>
        <w:tc>
          <w:tcPr>
            <w:tcW w:w="738" w:type="dxa"/>
            <w:shd w:val="clear" w:color="auto" w:fill="F0F5FE"/>
            <w:vAlign w:val="center"/>
          </w:tcPr>
          <w:p>
            <w:pPr>
              <w:spacing w:line="360" w:lineRule="auto"/>
              <w:rPr>
                <w:rFonts w:hint="eastAsia"/>
                <w:sz w:val="32"/>
                <w:szCs w:val="32"/>
              </w:rPr>
            </w:pPr>
            <w:r>
              <w:rPr>
                <w:rFonts w:hint="eastAsia"/>
                <w:sz w:val="32"/>
                <w:szCs w:val="32"/>
              </w:rPr>
              <w:t>本期发放</w:t>
            </w:r>
          </w:p>
        </w:tc>
        <w:tc>
          <w:tcPr>
            <w:tcW w:w="738" w:type="dxa"/>
            <w:shd w:val="clear" w:color="auto" w:fill="F0F5FE"/>
            <w:vAlign w:val="center"/>
          </w:tcPr>
          <w:p>
            <w:pPr>
              <w:spacing w:line="360" w:lineRule="auto"/>
              <w:rPr>
                <w:rFonts w:hint="eastAsia"/>
                <w:sz w:val="32"/>
                <w:szCs w:val="32"/>
              </w:rPr>
            </w:pPr>
            <w:r>
              <w:rPr>
                <w:rFonts w:hint="eastAsia"/>
                <w:sz w:val="32"/>
                <w:szCs w:val="32"/>
              </w:rPr>
              <w:t>累计发放</w:t>
            </w:r>
          </w:p>
        </w:tc>
        <w:tc>
          <w:tcPr>
            <w:tcW w:w="738" w:type="dxa"/>
            <w:shd w:val="clear" w:color="auto" w:fill="F0F5FE"/>
            <w:vAlign w:val="center"/>
          </w:tcPr>
          <w:p>
            <w:pPr>
              <w:spacing w:line="360" w:lineRule="auto"/>
              <w:rPr>
                <w:rFonts w:hint="eastAsia"/>
                <w:sz w:val="32"/>
                <w:szCs w:val="32"/>
              </w:rPr>
            </w:pPr>
            <w:r>
              <w:rPr>
                <w:rFonts w:hint="eastAsia"/>
                <w:sz w:val="32"/>
                <w:szCs w:val="32"/>
              </w:rPr>
              <w:t>本期收回</w:t>
            </w:r>
          </w:p>
        </w:tc>
        <w:tc>
          <w:tcPr>
            <w:tcW w:w="738" w:type="dxa"/>
            <w:shd w:val="clear" w:color="auto" w:fill="F0F5FE"/>
            <w:vAlign w:val="center"/>
          </w:tcPr>
          <w:p>
            <w:pPr>
              <w:spacing w:line="360" w:lineRule="auto"/>
              <w:rPr>
                <w:rFonts w:hint="eastAsia"/>
                <w:sz w:val="32"/>
                <w:szCs w:val="32"/>
              </w:rPr>
            </w:pPr>
            <w:r>
              <w:rPr>
                <w:rFonts w:hint="eastAsia"/>
                <w:sz w:val="32"/>
                <w:szCs w:val="32"/>
              </w:rPr>
              <w:t>累计收回</w:t>
            </w:r>
          </w:p>
        </w:tc>
        <w:tc>
          <w:tcPr>
            <w:tcW w:w="738" w:type="dxa"/>
            <w:shd w:val="clear" w:color="auto" w:fill="F0F5FE"/>
            <w:vAlign w:val="center"/>
          </w:tcPr>
          <w:p>
            <w:pPr>
              <w:spacing w:line="360" w:lineRule="auto"/>
              <w:rPr>
                <w:rFonts w:hint="eastAsia"/>
                <w:sz w:val="32"/>
                <w:szCs w:val="32"/>
              </w:rPr>
            </w:pPr>
            <w:r>
              <w:rPr>
                <w:rFonts w:hint="eastAsia"/>
                <w:sz w:val="32"/>
                <w:szCs w:val="32"/>
              </w:rPr>
              <w:t>期末余额</w:t>
            </w:r>
          </w:p>
        </w:tc>
        <w:tc>
          <w:tcPr>
            <w:tcW w:w="738" w:type="dxa"/>
            <w:shd w:val="clear" w:color="auto" w:fill="F0F5FE"/>
            <w:vAlign w:val="center"/>
          </w:tcPr>
          <w:p>
            <w:pPr>
              <w:spacing w:line="360" w:lineRule="auto"/>
              <w:rPr>
                <w:rFonts w:hint="eastAsia"/>
                <w:sz w:val="32"/>
                <w:szCs w:val="32"/>
              </w:rPr>
            </w:pPr>
            <w:r>
              <w:rPr>
                <w:rFonts w:hint="eastAsia"/>
                <w:sz w:val="32"/>
                <w:szCs w:val="32"/>
              </w:rPr>
              <w:t>其中：逾期贷款余额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0F5FE"/>
          <w:tblLayout w:type="fixed"/>
          <w:tblCellMar>
            <w:top w:w="15" w:type="dxa"/>
            <w:left w:w="15" w:type="dxa"/>
            <w:bottom w:w="15" w:type="dxa"/>
            <w:right w:w="15" w:type="dxa"/>
          </w:tblCellMar>
        </w:tblPrEx>
        <w:trPr>
          <w:tblCellSpacing w:w="7" w:type="dxa"/>
        </w:trPr>
        <w:tc>
          <w:tcPr>
            <w:tcW w:w="963" w:type="dxa"/>
            <w:shd w:val="clear" w:color="auto" w:fill="F0F5FE"/>
            <w:vAlign w:val="top"/>
          </w:tcPr>
          <w:p>
            <w:pPr>
              <w:spacing w:line="360" w:lineRule="auto"/>
              <w:rPr>
                <w:rFonts w:hint="eastAsia"/>
                <w:sz w:val="32"/>
                <w:szCs w:val="32"/>
              </w:rPr>
            </w:pPr>
            <w:r>
              <w:rPr>
                <w:rFonts w:hint="eastAsia"/>
                <w:sz w:val="32"/>
                <w:szCs w:val="32"/>
              </w:rPr>
              <w:t>1</w:t>
            </w:r>
          </w:p>
        </w:tc>
        <w:tc>
          <w:tcPr>
            <w:tcW w:w="512" w:type="dxa"/>
            <w:shd w:val="clear" w:color="auto" w:fill="F0F5FE"/>
            <w:vAlign w:val="center"/>
          </w:tcPr>
          <w:p>
            <w:pPr>
              <w:spacing w:line="360" w:lineRule="auto"/>
              <w:rPr>
                <w:rFonts w:hint="eastAsia" w:eastAsiaTheme="minorEastAsia"/>
                <w:sz w:val="32"/>
                <w:szCs w:val="32"/>
                <w:lang w:eastAsia="zh-CN"/>
              </w:rPr>
            </w:pPr>
          </w:p>
        </w:tc>
        <w:tc>
          <w:tcPr>
            <w:tcW w:w="512" w:type="dxa"/>
            <w:shd w:val="clear" w:color="auto" w:fill="F0F5FE"/>
            <w:vAlign w:val="top"/>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sz w:val="32"/>
                <w:szCs w:val="32"/>
              </w:rPr>
            </w:pPr>
            <w:r>
              <w:rPr>
                <w:rFonts w:hint="eastAsia"/>
                <w:sz w:val="32"/>
                <w:szCs w:val="32"/>
              </w:rPr>
              <w:t>　</w:t>
            </w:r>
          </w:p>
        </w:tc>
        <w:tc>
          <w:tcPr>
            <w:tcW w:w="512" w:type="dxa"/>
            <w:shd w:val="clear" w:color="auto" w:fill="F0F5FE"/>
            <w:vAlign w:val="top"/>
          </w:tcPr>
          <w:p>
            <w:pPr>
              <w:spacing w:line="360" w:lineRule="auto"/>
              <w:rPr>
                <w:rFonts w:hint="eastAsia" w:eastAsiaTheme="minorEastAsia"/>
                <w:sz w:val="32"/>
                <w:szCs w:val="32"/>
                <w:lang w:eastAsia="zh-CN"/>
              </w:rPr>
            </w:pPr>
          </w:p>
        </w:tc>
        <w:tc>
          <w:tcPr>
            <w:tcW w:w="512" w:type="dxa"/>
            <w:shd w:val="clear" w:color="auto" w:fill="F0F5FE"/>
            <w:vAlign w:val="top"/>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sz w:val="32"/>
                <w:szCs w:val="32"/>
              </w:rPr>
            </w:pPr>
            <w:r>
              <w:rPr>
                <w:rFonts w:hint="eastAsia"/>
                <w:sz w:val="32"/>
                <w:szCs w:val="32"/>
              </w:rPr>
              <w:t>　</w:t>
            </w:r>
          </w:p>
        </w:tc>
        <w:tc>
          <w:tcPr>
            <w:tcW w:w="738" w:type="dxa"/>
            <w:shd w:val="clear" w:color="auto" w:fill="F0F5FE"/>
            <w:vAlign w:val="center"/>
          </w:tcPr>
          <w:p>
            <w:pPr>
              <w:spacing w:line="360" w:lineRule="auto"/>
              <w:rPr>
                <w:rFonts w:hint="eastAsia"/>
                <w:sz w:val="32"/>
                <w:szCs w:val="32"/>
              </w:rPr>
            </w:pPr>
            <w:r>
              <w:rPr>
                <w:rFonts w:hint="eastAsia"/>
                <w:sz w:val="32"/>
                <w:szCs w:val="32"/>
              </w:rPr>
              <w:t>　</w:t>
            </w:r>
          </w:p>
        </w:tc>
        <w:tc>
          <w:tcPr>
            <w:tcW w:w="738" w:type="dxa"/>
            <w:shd w:val="clear" w:color="auto" w:fill="F0F5FE"/>
            <w:vAlign w:val="center"/>
          </w:tcPr>
          <w:p>
            <w:pPr>
              <w:spacing w:line="360" w:lineRule="auto"/>
              <w:rPr>
                <w:rFonts w:hint="eastAsia"/>
                <w:sz w:val="32"/>
                <w:szCs w:val="32"/>
              </w:rPr>
            </w:pPr>
            <w:r>
              <w:rPr>
                <w:rFonts w:hint="eastAsia"/>
                <w:sz w:val="32"/>
                <w:szCs w:val="32"/>
              </w:rPr>
              <w:t>　</w:t>
            </w:r>
          </w:p>
        </w:tc>
        <w:tc>
          <w:tcPr>
            <w:tcW w:w="738" w:type="dxa"/>
            <w:shd w:val="clear" w:color="auto" w:fill="F0F5FE"/>
            <w:vAlign w:val="center"/>
          </w:tcPr>
          <w:p>
            <w:pPr>
              <w:spacing w:line="360" w:lineRule="auto"/>
              <w:rPr>
                <w:rFonts w:hint="eastAsia"/>
                <w:sz w:val="32"/>
                <w:szCs w:val="32"/>
              </w:rPr>
            </w:pPr>
            <w:r>
              <w:rPr>
                <w:rFonts w:hint="eastAsia"/>
                <w:sz w:val="32"/>
                <w:szCs w:val="32"/>
              </w:rPr>
              <w:t>　</w:t>
            </w:r>
          </w:p>
        </w:tc>
        <w:tc>
          <w:tcPr>
            <w:tcW w:w="738" w:type="dxa"/>
            <w:shd w:val="clear" w:color="auto" w:fill="F0F5FE"/>
            <w:vAlign w:val="center"/>
          </w:tcPr>
          <w:p>
            <w:pPr>
              <w:spacing w:line="360" w:lineRule="auto"/>
              <w:rPr>
                <w:rFonts w:hint="eastAsia"/>
                <w:sz w:val="32"/>
                <w:szCs w:val="32"/>
              </w:rPr>
            </w:pPr>
            <w:r>
              <w:rPr>
                <w:rFonts w:hint="eastAsia"/>
                <w:sz w:val="32"/>
                <w:szCs w:val="32"/>
              </w:rPr>
              <w:t>　</w:t>
            </w:r>
          </w:p>
        </w:tc>
        <w:tc>
          <w:tcPr>
            <w:tcW w:w="738" w:type="dxa"/>
            <w:shd w:val="clear" w:color="auto" w:fill="F0F5FE"/>
            <w:vAlign w:val="center"/>
          </w:tcPr>
          <w:p>
            <w:pPr>
              <w:spacing w:line="360" w:lineRule="auto"/>
              <w:rPr>
                <w:rFonts w:hint="eastAsia"/>
                <w:sz w:val="32"/>
                <w:szCs w:val="32"/>
              </w:rPr>
            </w:pPr>
            <w:r>
              <w:rPr>
                <w:rFonts w:hint="eastAsia"/>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0F5FE"/>
          <w:tblLayout w:type="fixed"/>
          <w:tblCellMar>
            <w:top w:w="15" w:type="dxa"/>
            <w:left w:w="15" w:type="dxa"/>
            <w:bottom w:w="15" w:type="dxa"/>
            <w:right w:w="15" w:type="dxa"/>
          </w:tblCellMar>
        </w:tblPrEx>
        <w:trPr>
          <w:tblCellSpacing w:w="7" w:type="dxa"/>
        </w:trPr>
        <w:tc>
          <w:tcPr>
            <w:tcW w:w="963" w:type="dxa"/>
            <w:shd w:val="clear" w:color="auto" w:fill="F0F5FE"/>
            <w:vAlign w:val="top"/>
          </w:tcPr>
          <w:p>
            <w:pPr>
              <w:spacing w:line="360" w:lineRule="auto"/>
              <w:rPr>
                <w:rFonts w:hint="eastAsia"/>
                <w:sz w:val="32"/>
                <w:szCs w:val="32"/>
              </w:rPr>
            </w:pPr>
            <w:r>
              <w:rPr>
                <w:rFonts w:hint="eastAsia"/>
                <w:sz w:val="32"/>
                <w:szCs w:val="32"/>
              </w:rPr>
              <w:t>2</w:t>
            </w:r>
          </w:p>
        </w:tc>
        <w:tc>
          <w:tcPr>
            <w:tcW w:w="512" w:type="dxa"/>
            <w:shd w:val="clear" w:color="auto" w:fill="F0F5FE"/>
            <w:vAlign w:val="center"/>
          </w:tcPr>
          <w:p>
            <w:pPr>
              <w:spacing w:line="360" w:lineRule="auto"/>
              <w:rPr>
                <w:rFonts w:hint="eastAsia" w:eastAsiaTheme="minorEastAsia"/>
                <w:sz w:val="32"/>
                <w:szCs w:val="32"/>
                <w:lang w:eastAsia="zh-CN"/>
              </w:rPr>
            </w:pPr>
          </w:p>
        </w:tc>
        <w:tc>
          <w:tcPr>
            <w:tcW w:w="512" w:type="dxa"/>
            <w:shd w:val="clear" w:color="auto" w:fill="F0F5FE"/>
            <w:vAlign w:val="top"/>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eastAsiaTheme="minorEastAsia"/>
                <w:sz w:val="32"/>
                <w:szCs w:val="32"/>
                <w:lang w:eastAsia="zh-CN"/>
              </w:rPr>
            </w:pPr>
          </w:p>
        </w:tc>
        <w:tc>
          <w:tcPr>
            <w:tcW w:w="512" w:type="dxa"/>
            <w:shd w:val="clear" w:color="auto" w:fill="F0F5FE"/>
            <w:vAlign w:val="top"/>
          </w:tcPr>
          <w:p>
            <w:pPr>
              <w:spacing w:line="360" w:lineRule="auto"/>
              <w:rPr>
                <w:rFonts w:hint="eastAsia" w:eastAsiaTheme="minorEastAsia"/>
                <w:sz w:val="32"/>
                <w:szCs w:val="32"/>
                <w:lang w:eastAsia="zh-CN"/>
              </w:rPr>
            </w:pPr>
          </w:p>
        </w:tc>
        <w:tc>
          <w:tcPr>
            <w:tcW w:w="512" w:type="dxa"/>
            <w:shd w:val="clear" w:color="auto" w:fill="F0F5FE"/>
            <w:vAlign w:val="top"/>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eastAsiaTheme="minorEastAsia"/>
                <w:sz w:val="32"/>
                <w:szCs w:val="32"/>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0F5FE"/>
          <w:tblLayout w:type="fixed"/>
          <w:tblCellMar>
            <w:top w:w="15" w:type="dxa"/>
            <w:left w:w="15" w:type="dxa"/>
            <w:bottom w:w="15" w:type="dxa"/>
            <w:right w:w="15" w:type="dxa"/>
          </w:tblCellMar>
        </w:tblPrEx>
        <w:trPr>
          <w:tblCellSpacing w:w="7" w:type="dxa"/>
        </w:trPr>
        <w:tc>
          <w:tcPr>
            <w:tcW w:w="963" w:type="dxa"/>
            <w:shd w:val="clear" w:color="auto" w:fill="F0F5FE"/>
            <w:vAlign w:val="top"/>
          </w:tcPr>
          <w:p>
            <w:pPr>
              <w:spacing w:line="360" w:lineRule="auto"/>
              <w:rPr>
                <w:rFonts w:hint="eastAsia"/>
                <w:sz w:val="32"/>
                <w:szCs w:val="32"/>
              </w:rPr>
            </w:pPr>
            <w:r>
              <w:rPr>
                <w:rFonts w:hint="eastAsia"/>
                <w:sz w:val="32"/>
                <w:szCs w:val="32"/>
              </w:rPr>
              <w:t>3</w:t>
            </w:r>
          </w:p>
        </w:tc>
        <w:tc>
          <w:tcPr>
            <w:tcW w:w="512" w:type="dxa"/>
            <w:shd w:val="clear" w:color="auto" w:fill="F0F5FE"/>
            <w:vAlign w:val="center"/>
          </w:tcPr>
          <w:p>
            <w:pPr>
              <w:spacing w:line="360" w:lineRule="auto"/>
              <w:rPr>
                <w:rFonts w:hint="eastAsia" w:eastAsiaTheme="minorEastAsia"/>
                <w:sz w:val="32"/>
                <w:szCs w:val="32"/>
                <w:lang w:eastAsia="zh-CN"/>
              </w:rPr>
            </w:pPr>
          </w:p>
        </w:tc>
        <w:tc>
          <w:tcPr>
            <w:tcW w:w="512" w:type="dxa"/>
            <w:shd w:val="clear" w:color="auto" w:fill="F0F5FE"/>
            <w:vAlign w:val="top"/>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eastAsiaTheme="minorEastAsia"/>
                <w:sz w:val="32"/>
                <w:szCs w:val="32"/>
                <w:lang w:eastAsia="zh-CN"/>
              </w:rPr>
            </w:pPr>
          </w:p>
        </w:tc>
        <w:tc>
          <w:tcPr>
            <w:tcW w:w="512" w:type="dxa"/>
            <w:shd w:val="clear" w:color="auto" w:fill="F0F5FE"/>
            <w:vAlign w:val="top"/>
          </w:tcPr>
          <w:p>
            <w:pPr>
              <w:spacing w:line="360" w:lineRule="auto"/>
              <w:rPr>
                <w:rFonts w:hint="eastAsia" w:eastAsiaTheme="minorEastAsia"/>
                <w:sz w:val="32"/>
                <w:szCs w:val="32"/>
                <w:lang w:eastAsia="zh-CN"/>
              </w:rPr>
            </w:pPr>
          </w:p>
        </w:tc>
        <w:tc>
          <w:tcPr>
            <w:tcW w:w="512" w:type="dxa"/>
            <w:shd w:val="clear" w:color="auto" w:fill="F0F5FE"/>
            <w:vAlign w:val="top"/>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eastAsiaTheme="minorEastAsia"/>
                <w:sz w:val="32"/>
                <w:szCs w:val="32"/>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0F5FE"/>
          <w:tblLayout w:type="fixed"/>
          <w:tblCellMar>
            <w:top w:w="15" w:type="dxa"/>
            <w:left w:w="15" w:type="dxa"/>
            <w:bottom w:w="15" w:type="dxa"/>
            <w:right w:w="15" w:type="dxa"/>
          </w:tblCellMar>
        </w:tblPrEx>
        <w:trPr>
          <w:tblCellSpacing w:w="7" w:type="dxa"/>
        </w:trPr>
        <w:tc>
          <w:tcPr>
            <w:tcW w:w="963" w:type="dxa"/>
            <w:shd w:val="clear" w:color="auto" w:fill="F0F5FE"/>
            <w:vAlign w:val="top"/>
          </w:tcPr>
          <w:p>
            <w:pPr>
              <w:spacing w:line="360" w:lineRule="auto"/>
              <w:rPr>
                <w:rFonts w:hint="eastAsia"/>
                <w:sz w:val="32"/>
                <w:szCs w:val="32"/>
              </w:rPr>
            </w:pPr>
            <w:r>
              <w:rPr>
                <w:rFonts w:hint="eastAsia"/>
                <w:sz w:val="32"/>
                <w:szCs w:val="32"/>
              </w:rPr>
              <w:t>4</w:t>
            </w:r>
          </w:p>
        </w:tc>
        <w:tc>
          <w:tcPr>
            <w:tcW w:w="512" w:type="dxa"/>
            <w:shd w:val="clear" w:color="auto" w:fill="F0F5FE"/>
            <w:vAlign w:val="center"/>
          </w:tcPr>
          <w:p>
            <w:pPr>
              <w:spacing w:line="360" w:lineRule="auto"/>
              <w:rPr>
                <w:rFonts w:hint="eastAsia" w:eastAsiaTheme="minorEastAsia"/>
                <w:sz w:val="32"/>
                <w:szCs w:val="32"/>
                <w:lang w:eastAsia="zh-CN"/>
              </w:rPr>
            </w:pPr>
          </w:p>
        </w:tc>
        <w:tc>
          <w:tcPr>
            <w:tcW w:w="512" w:type="dxa"/>
            <w:shd w:val="clear" w:color="auto" w:fill="F0F5FE"/>
            <w:vAlign w:val="top"/>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sz w:val="32"/>
                <w:szCs w:val="32"/>
              </w:rPr>
            </w:pPr>
            <w:r>
              <w:rPr>
                <w:rFonts w:hint="eastAsia"/>
                <w:sz w:val="32"/>
                <w:szCs w:val="32"/>
              </w:rPr>
              <w:t>　</w:t>
            </w:r>
          </w:p>
        </w:tc>
        <w:tc>
          <w:tcPr>
            <w:tcW w:w="512" w:type="dxa"/>
            <w:shd w:val="clear" w:color="auto" w:fill="F0F5FE"/>
            <w:vAlign w:val="top"/>
          </w:tcPr>
          <w:p>
            <w:pPr>
              <w:spacing w:line="360" w:lineRule="auto"/>
              <w:rPr>
                <w:rFonts w:hint="eastAsia" w:eastAsiaTheme="minorEastAsia"/>
                <w:sz w:val="32"/>
                <w:szCs w:val="32"/>
                <w:lang w:eastAsia="zh-CN"/>
              </w:rPr>
            </w:pPr>
          </w:p>
        </w:tc>
        <w:tc>
          <w:tcPr>
            <w:tcW w:w="512" w:type="dxa"/>
            <w:shd w:val="clear" w:color="auto" w:fill="F0F5FE"/>
            <w:vAlign w:val="top"/>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sz w:val="32"/>
                <w:szCs w:val="32"/>
              </w:rPr>
            </w:pPr>
            <w:r>
              <w:rPr>
                <w:rFonts w:hint="eastAsia"/>
                <w:sz w:val="32"/>
                <w:szCs w:val="32"/>
              </w:rPr>
              <w:t>　</w:t>
            </w:r>
          </w:p>
        </w:tc>
        <w:tc>
          <w:tcPr>
            <w:tcW w:w="738" w:type="dxa"/>
            <w:shd w:val="clear" w:color="auto" w:fill="F0F5FE"/>
            <w:vAlign w:val="center"/>
          </w:tcPr>
          <w:p>
            <w:pPr>
              <w:spacing w:line="360" w:lineRule="auto"/>
              <w:rPr>
                <w:rFonts w:hint="eastAsia"/>
                <w:sz w:val="32"/>
                <w:szCs w:val="32"/>
              </w:rPr>
            </w:pPr>
            <w:r>
              <w:rPr>
                <w:rFonts w:hint="eastAsia"/>
                <w:sz w:val="32"/>
                <w:szCs w:val="32"/>
              </w:rPr>
              <w:t>　</w:t>
            </w:r>
          </w:p>
        </w:tc>
        <w:tc>
          <w:tcPr>
            <w:tcW w:w="738" w:type="dxa"/>
            <w:shd w:val="clear" w:color="auto" w:fill="F0F5FE"/>
            <w:vAlign w:val="center"/>
          </w:tcPr>
          <w:p>
            <w:pPr>
              <w:spacing w:line="360" w:lineRule="auto"/>
              <w:rPr>
                <w:rFonts w:hint="eastAsia"/>
                <w:sz w:val="32"/>
                <w:szCs w:val="32"/>
              </w:rPr>
            </w:pPr>
            <w:r>
              <w:rPr>
                <w:rFonts w:hint="eastAsia"/>
                <w:sz w:val="32"/>
                <w:szCs w:val="32"/>
              </w:rPr>
              <w:t>　</w:t>
            </w:r>
          </w:p>
        </w:tc>
        <w:tc>
          <w:tcPr>
            <w:tcW w:w="738" w:type="dxa"/>
            <w:shd w:val="clear" w:color="auto" w:fill="F0F5FE"/>
            <w:vAlign w:val="center"/>
          </w:tcPr>
          <w:p>
            <w:pPr>
              <w:spacing w:line="360" w:lineRule="auto"/>
              <w:rPr>
                <w:rFonts w:hint="eastAsia"/>
                <w:sz w:val="32"/>
                <w:szCs w:val="32"/>
              </w:rPr>
            </w:pPr>
            <w:r>
              <w:rPr>
                <w:rFonts w:hint="eastAsia"/>
                <w:sz w:val="32"/>
                <w:szCs w:val="32"/>
              </w:rPr>
              <w:t>　</w:t>
            </w:r>
          </w:p>
        </w:tc>
        <w:tc>
          <w:tcPr>
            <w:tcW w:w="738" w:type="dxa"/>
            <w:shd w:val="clear" w:color="auto" w:fill="F0F5FE"/>
            <w:vAlign w:val="center"/>
          </w:tcPr>
          <w:p>
            <w:pPr>
              <w:spacing w:line="360" w:lineRule="auto"/>
              <w:rPr>
                <w:rFonts w:hint="eastAsia"/>
                <w:sz w:val="32"/>
                <w:szCs w:val="32"/>
              </w:rPr>
            </w:pPr>
            <w:r>
              <w:rPr>
                <w:rFonts w:hint="eastAsia"/>
                <w:sz w:val="32"/>
                <w:szCs w:val="32"/>
              </w:rPr>
              <w:t>　</w:t>
            </w:r>
          </w:p>
        </w:tc>
        <w:tc>
          <w:tcPr>
            <w:tcW w:w="738" w:type="dxa"/>
            <w:shd w:val="clear" w:color="auto" w:fill="F0F5FE"/>
            <w:vAlign w:val="center"/>
          </w:tcPr>
          <w:p>
            <w:pPr>
              <w:spacing w:line="360" w:lineRule="auto"/>
              <w:rPr>
                <w:rFonts w:hint="eastAsia"/>
                <w:sz w:val="32"/>
                <w:szCs w:val="32"/>
              </w:rPr>
            </w:pPr>
            <w:r>
              <w:rPr>
                <w:rFonts w:hint="eastAsia"/>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0F5FE"/>
          <w:tblLayout w:type="fixed"/>
          <w:tblCellMar>
            <w:top w:w="15" w:type="dxa"/>
            <w:left w:w="15" w:type="dxa"/>
            <w:bottom w:w="15" w:type="dxa"/>
            <w:right w:w="15" w:type="dxa"/>
          </w:tblCellMar>
        </w:tblPrEx>
        <w:trPr>
          <w:tblCellSpacing w:w="7" w:type="dxa"/>
        </w:trPr>
        <w:tc>
          <w:tcPr>
            <w:tcW w:w="963" w:type="dxa"/>
            <w:shd w:val="clear" w:color="auto" w:fill="F0F5FE"/>
            <w:vAlign w:val="top"/>
          </w:tcPr>
          <w:p>
            <w:pPr>
              <w:spacing w:line="360" w:lineRule="auto"/>
              <w:rPr>
                <w:rFonts w:hint="eastAsia"/>
                <w:sz w:val="32"/>
                <w:szCs w:val="32"/>
              </w:rPr>
            </w:pPr>
            <w:r>
              <w:rPr>
                <w:rFonts w:hint="eastAsia"/>
                <w:sz w:val="32"/>
                <w:szCs w:val="32"/>
              </w:rPr>
              <w:t>……</w:t>
            </w:r>
          </w:p>
        </w:tc>
        <w:tc>
          <w:tcPr>
            <w:tcW w:w="512" w:type="dxa"/>
            <w:shd w:val="clear" w:color="auto" w:fill="F0F5FE"/>
            <w:vAlign w:val="center"/>
          </w:tcPr>
          <w:p>
            <w:pPr>
              <w:spacing w:line="360" w:lineRule="auto"/>
              <w:rPr>
                <w:rFonts w:hint="eastAsia" w:eastAsiaTheme="minorEastAsia"/>
                <w:sz w:val="32"/>
                <w:szCs w:val="32"/>
                <w:lang w:eastAsia="zh-CN"/>
              </w:rPr>
            </w:pPr>
          </w:p>
        </w:tc>
        <w:tc>
          <w:tcPr>
            <w:tcW w:w="512" w:type="dxa"/>
            <w:shd w:val="clear" w:color="auto" w:fill="F0F5FE"/>
            <w:vAlign w:val="top"/>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eastAsiaTheme="minorEastAsia"/>
                <w:sz w:val="32"/>
                <w:szCs w:val="32"/>
                <w:lang w:eastAsia="zh-CN"/>
              </w:rPr>
            </w:pPr>
          </w:p>
        </w:tc>
        <w:tc>
          <w:tcPr>
            <w:tcW w:w="512" w:type="dxa"/>
            <w:shd w:val="clear" w:color="auto" w:fill="F0F5FE"/>
            <w:vAlign w:val="top"/>
          </w:tcPr>
          <w:p>
            <w:pPr>
              <w:spacing w:line="360" w:lineRule="auto"/>
              <w:rPr>
                <w:rFonts w:hint="eastAsia" w:eastAsiaTheme="minorEastAsia"/>
                <w:sz w:val="32"/>
                <w:szCs w:val="32"/>
                <w:lang w:eastAsia="zh-CN"/>
              </w:rPr>
            </w:pPr>
          </w:p>
        </w:tc>
        <w:tc>
          <w:tcPr>
            <w:tcW w:w="512" w:type="dxa"/>
            <w:shd w:val="clear" w:color="auto" w:fill="F0F5FE"/>
            <w:vAlign w:val="top"/>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eastAsiaTheme="minorEastAsia"/>
                <w:sz w:val="32"/>
                <w:szCs w:val="32"/>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0F5FE"/>
          <w:tblLayout w:type="fixed"/>
          <w:tblCellMar>
            <w:top w:w="15" w:type="dxa"/>
            <w:left w:w="15" w:type="dxa"/>
            <w:bottom w:w="15" w:type="dxa"/>
            <w:right w:w="15" w:type="dxa"/>
          </w:tblCellMar>
        </w:tblPrEx>
        <w:trPr>
          <w:tblCellSpacing w:w="7" w:type="dxa"/>
        </w:trPr>
        <w:tc>
          <w:tcPr>
            <w:tcW w:w="963" w:type="dxa"/>
            <w:shd w:val="clear" w:color="auto" w:fill="F0F5FE"/>
            <w:vAlign w:val="top"/>
          </w:tcPr>
          <w:p>
            <w:pPr>
              <w:spacing w:line="360" w:lineRule="auto"/>
              <w:rPr>
                <w:rFonts w:hint="eastAsia"/>
                <w:sz w:val="32"/>
                <w:szCs w:val="32"/>
              </w:rPr>
            </w:pPr>
            <w:r>
              <w:rPr>
                <w:rFonts w:hint="eastAsia"/>
                <w:sz w:val="32"/>
                <w:szCs w:val="32"/>
              </w:rPr>
              <w:t>合计</w:t>
            </w:r>
          </w:p>
        </w:tc>
        <w:tc>
          <w:tcPr>
            <w:tcW w:w="512" w:type="dxa"/>
            <w:shd w:val="clear" w:color="auto" w:fill="F0F5FE"/>
            <w:vAlign w:val="center"/>
          </w:tcPr>
          <w:p>
            <w:pPr>
              <w:spacing w:line="360" w:lineRule="auto"/>
              <w:rPr>
                <w:rFonts w:hint="eastAsia"/>
                <w:sz w:val="32"/>
                <w:szCs w:val="32"/>
              </w:rPr>
            </w:pPr>
            <w:r>
              <w:rPr>
                <w:rFonts w:hint="eastAsia"/>
                <w:sz w:val="32"/>
                <w:szCs w:val="32"/>
              </w:rPr>
              <w:t>-</w:t>
            </w:r>
          </w:p>
        </w:tc>
        <w:tc>
          <w:tcPr>
            <w:tcW w:w="512" w:type="dxa"/>
            <w:shd w:val="clear" w:color="auto" w:fill="F0F5FE"/>
            <w:vAlign w:val="top"/>
          </w:tcPr>
          <w:p>
            <w:pPr>
              <w:spacing w:line="360" w:lineRule="auto"/>
              <w:rPr>
                <w:rFonts w:hint="eastAsia"/>
                <w:sz w:val="32"/>
                <w:szCs w:val="32"/>
              </w:rPr>
            </w:pPr>
            <w:r>
              <w:rPr>
                <w:rFonts w:hint="eastAsia"/>
                <w:sz w:val="32"/>
                <w:szCs w:val="32"/>
              </w:rPr>
              <w:t>-</w:t>
            </w:r>
          </w:p>
        </w:tc>
        <w:tc>
          <w:tcPr>
            <w:tcW w:w="738" w:type="dxa"/>
            <w:shd w:val="clear" w:color="auto" w:fill="F0F5FE"/>
            <w:vAlign w:val="center"/>
          </w:tcPr>
          <w:p>
            <w:pPr>
              <w:spacing w:line="360" w:lineRule="auto"/>
              <w:rPr>
                <w:rFonts w:hint="eastAsia"/>
                <w:sz w:val="32"/>
                <w:szCs w:val="32"/>
              </w:rPr>
            </w:pPr>
            <w:r>
              <w:rPr>
                <w:rFonts w:hint="eastAsia"/>
                <w:sz w:val="32"/>
                <w:szCs w:val="32"/>
              </w:rPr>
              <w:t>-</w:t>
            </w:r>
          </w:p>
        </w:tc>
        <w:tc>
          <w:tcPr>
            <w:tcW w:w="512" w:type="dxa"/>
            <w:shd w:val="clear" w:color="auto" w:fill="F0F5FE"/>
            <w:vAlign w:val="top"/>
          </w:tcPr>
          <w:p>
            <w:pPr>
              <w:spacing w:line="360" w:lineRule="auto"/>
              <w:rPr>
                <w:rFonts w:hint="eastAsia" w:eastAsiaTheme="minorEastAsia"/>
                <w:sz w:val="32"/>
                <w:szCs w:val="32"/>
                <w:lang w:eastAsia="zh-CN"/>
              </w:rPr>
            </w:pPr>
          </w:p>
        </w:tc>
        <w:tc>
          <w:tcPr>
            <w:tcW w:w="512" w:type="dxa"/>
            <w:shd w:val="clear" w:color="auto" w:fill="F0F5FE"/>
            <w:vAlign w:val="top"/>
          </w:tcPr>
          <w:p>
            <w:pPr>
              <w:spacing w:line="360" w:lineRule="auto"/>
              <w:rPr>
                <w:rFonts w:hint="eastAsia" w:eastAsiaTheme="minorEastAsia"/>
                <w:sz w:val="32"/>
                <w:szCs w:val="32"/>
                <w:lang w:eastAsia="zh-CN"/>
              </w:rPr>
            </w:pPr>
          </w:p>
        </w:tc>
        <w:tc>
          <w:tcPr>
            <w:tcW w:w="738" w:type="dxa"/>
            <w:shd w:val="clear" w:color="auto" w:fill="F0F5FE"/>
            <w:vAlign w:val="center"/>
          </w:tcPr>
          <w:p>
            <w:pPr>
              <w:spacing w:line="360" w:lineRule="auto"/>
              <w:rPr>
                <w:rFonts w:hint="eastAsia"/>
                <w:sz w:val="32"/>
                <w:szCs w:val="32"/>
              </w:rPr>
            </w:pPr>
            <w:r>
              <w:rPr>
                <w:rFonts w:hint="eastAsia"/>
                <w:sz w:val="32"/>
                <w:szCs w:val="32"/>
              </w:rPr>
              <w:t>　</w:t>
            </w:r>
          </w:p>
        </w:tc>
        <w:tc>
          <w:tcPr>
            <w:tcW w:w="738" w:type="dxa"/>
            <w:shd w:val="clear" w:color="auto" w:fill="F0F5FE"/>
            <w:vAlign w:val="center"/>
          </w:tcPr>
          <w:p>
            <w:pPr>
              <w:spacing w:line="360" w:lineRule="auto"/>
              <w:rPr>
                <w:rFonts w:hint="eastAsia"/>
                <w:sz w:val="32"/>
                <w:szCs w:val="32"/>
              </w:rPr>
            </w:pPr>
            <w:r>
              <w:rPr>
                <w:rFonts w:hint="eastAsia"/>
                <w:sz w:val="32"/>
                <w:szCs w:val="32"/>
              </w:rPr>
              <w:t>　</w:t>
            </w:r>
          </w:p>
        </w:tc>
        <w:tc>
          <w:tcPr>
            <w:tcW w:w="738" w:type="dxa"/>
            <w:shd w:val="clear" w:color="auto" w:fill="F0F5FE"/>
            <w:vAlign w:val="center"/>
          </w:tcPr>
          <w:p>
            <w:pPr>
              <w:spacing w:line="360" w:lineRule="auto"/>
              <w:rPr>
                <w:rFonts w:hint="eastAsia"/>
                <w:sz w:val="32"/>
                <w:szCs w:val="32"/>
              </w:rPr>
            </w:pPr>
            <w:r>
              <w:rPr>
                <w:rFonts w:hint="eastAsia"/>
                <w:sz w:val="32"/>
                <w:szCs w:val="32"/>
              </w:rPr>
              <w:t>　</w:t>
            </w:r>
          </w:p>
        </w:tc>
        <w:tc>
          <w:tcPr>
            <w:tcW w:w="738" w:type="dxa"/>
            <w:shd w:val="clear" w:color="auto" w:fill="F0F5FE"/>
            <w:vAlign w:val="center"/>
          </w:tcPr>
          <w:p>
            <w:pPr>
              <w:spacing w:line="360" w:lineRule="auto"/>
              <w:rPr>
                <w:rFonts w:hint="eastAsia"/>
                <w:sz w:val="32"/>
                <w:szCs w:val="32"/>
              </w:rPr>
            </w:pPr>
            <w:r>
              <w:rPr>
                <w:rFonts w:hint="eastAsia"/>
                <w:sz w:val="32"/>
                <w:szCs w:val="32"/>
              </w:rPr>
              <w:t>　</w:t>
            </w:r>
          </w:p>
        </w:tc>
        <w:tc>
          <w:tcPr>
            <w:tcW w:w="738" w:type="dxa"/>
            <w:shd w:val="clear" w:color="auto" w:fill="F0F5FE"/>
            <w:vAlign w:val="center"/>
          </w:tcPr>
          <w:p>
            <w:pPr>
              <w:spacing w:line="360" w:lineRule="auto"/>
              <w:rPr>
                <w:rFonts w:hint="eastAsia"/>
                <w:sz w:val="32"/>
                <w:szCs w:val="32"/>
              </w:rPr>
            </w:pPr>
            <w:r>
              <w:rPr>
                <w:rFonts w:hint="eastAsia"/>
                <w:sz w:val="32"/>
                <w:szCs w:val="32"/>
              </w:rPr>
              <w:t>　</w:t>
            </w:r>
          </w:p>
        </w:tc>
        <w:tc>
          <w:tcPr>
            <w:tcW w:w="738" w:type="dxa"/>
            <w:shd w:val="clear" w:color="auto" w:fill="F0F5FE"/>
            <w:vAlign w:val="center"/>
          </w:tcPr>
          <w:p>
            <w:pPr>
              <w:spacing w:line="360" w:lineRule="auto"/>
              <w:rPr>
                <w:rFonts w:hint="eastAsia"/>
                <w:sz w:val="32"/>
                <w:szCs w:val="32"/>
              </w:rPr>
            </w:pPr>
            <w:r>
              <w:rPr>
                <w:rFonts w:hint="eastAsia"/>
                <w:sz w:val="32"/>
                <w:szCs w:val="32"/>
              </w:rPr>
              <w:t>　</w:t>
            </w:r>
          </w:p>
        </w:tc>
      </w:tr>
    </w:tbl>
    <w:p>
      <w:pPr>
        <w:spacing w:line="360" w:lineRule="auto"/>
        <w:rPr>
          <w:rFonts w:hint="eastAsia"/>
          <w:sz w:val="32"/>
          <w:szCs w:val="32"/>
          <w:lang w:val="en-US" w:eastAsia="zh-CN"/>
        </w:rPr>
      </w:pPr>
    </w:p>
    <w:p>
      <w:pPr>
        <w:spacing w:line="360" w:lineRule="auto"/>
        <w:rPr>
          <w:rFonts w:hint="eastAsia"/>
          <w:sz w:val="32"/>
          <w:szCs w:val="32"/>
          <w:lang w:val="en-US" w:eastAsia="zh-CN"/>
        </w:rPr>
      </w:pPr>
      <w:r>
        <w:rPr>
          <w:rFonts w:hint="eastAsia"/>
          <w:sz w:val="32"/>
          <w:szCs w:val="32"/>
          <w:lang w:val="en-US" w:eastAsia="zh-CN"/>
        </w:rPr>
        <w:t>（二）编制说明</w:t>
      </w:r>
    </w:p>
    <w:p>
      <w:pPr>
        <w:spacing w:line="360" w:lineRule="auto"/>
        <w:rPr>
          <w:rFonts w:hint="eastAsia"/>
          <w:sz w:val="32"/>
          <w:szCs w:val="32"/>
          <w:lang w:val="en-US" w:eastAsia="zh-CN"/>
        </w:rPr>
      </w:pPr>
      <w:r>
        <w:rPr>
          <w:rFonts w:hint="eastAsia"/>
          <w:sz w:val="32"/>
          <w:szCs w:val="32"/>
          <w:lang w:val="en-US" w:eastAsia="zh-CN"/>
        </w:rPr>
        <w:t>1．本表按季度和年度报送，反映建设项目贷款本季发放、本金收回和贷款余额等情况。年度报表中应当将本表中的“年第 季度”改为“年度”。</w:t>
      </w:r>
    </w:p>
    <w:p>
      <w:pPr>
        <w:spacing w:line="360" w:lineRule="auto"/>
        <w:rPr>
          <w:rFonts w:hint="eastAsia"/>
          <w:sz w:val="32"/>
          <w:szCs w:val="32"/>
          <w:lang w:val="en-US" w:eastAsia="zh-CN"/>
        </w:rPr>
      </w:pPr>
      <w:r>
        <w:rPr>
          <w:rFonts w:hint="eastAsia"/>
          <w:sz w:val="32"/>
          <w:szCs w:val="32"/>
          <w:lang w:val="en-US" w:eastAsia="zh-CN"/>
        </w:rPr>
        <w:t>2．本表各项目的内容和填列方法：</w:t>
      </w:r>
    </w:p>
    <w:p>
      <w:pPr>
        <w:spacing w:line="360" w:lineRule="auto"/>
        <w:rPr>
          <w:rFonts w:hint="eastAsia"/>
          <w:sz w:val="32"/>
          <w:szCs w:val="32"/>
          <w:lang w:val="en-US" w:eastAsia="zh-CN"/>
        </w:rPr>
      </w:pPr>
      <w:r>
        <w:rPr>
          <w:rFonts w:hint="eastAsia"/>
          <w:sz w:val="32"/>
          <w:szCs w:val="32"/>
          <w:lang w:val="en-US" w:eastAsia="zh-CN"/>
        </w:rPr>
        <w:t>（1）“项目名称”和“项目编码”项目，反映建设项目的具体名称和编码。本项目应根据《关于做好利用住房公积金贷款支持保障性住房建设试点工作的通知》填列。</w:t>
      </w:r>
    </w:p>
    <w:p>
      <w:pPr>
        <w:spacing w:line="360" w:lineRule="auto"/>
        <w:rPr>
          <w:rFonts w:hint="eastAsia"/>
          <w:sz w:val="32"/>
          <w:szCs w:val="32"/>
          <w:lang w:val="en-US" w:eastAsia="zh-CN"/>
        </w:rPr>
      </w:pPr>
      <w:r>
        <w:rPr>
          <w:rFonts w:hint="eastAsia"/>
          <w:sz w:val="32"/>
          <w:szCs w:val="32"/>
          <w:lang w:val="en-US" w:eastAsia="zh-CN"/>
        </w:rPr>
        <w:t>（2）“借款人”项目，反映建设项目的借款方。本项目应根据《住房公积金支持保障性住房建设项目借款合同》填列。</w:t>
      </w:r>
    </w:p>
    <w:p>
      <w:pPr>
        <w:spacing w:line="360" w:lineRule="auto"/>
        <w:rPr>
          <w:rFonts w:hint="eastAsia"/>
          <w:sz w:val="32"/>
          <w:szCs w:val="32"/>
          <w:lang w:val="en-US" w:eastAsia="zh-CN"/>
        </w:rPr>
      </w:pPr>
      <w:r>
        <w:rPr>
          <w:rFonts w:hint="eastAsia"/>
          <w:sz w:val="32"/>
          <w:szCs w:val="32"/>
          <w:lang w:val="en-US" w:eastAsia="zh-CN"/>
        </w:rPr>
        <w:t>（3）“期初项目贷款余额”项目，反映截至本期期初已发放但尚未收回的建设项目贷款（包括项目逾期贷款）余额情况。本项目中“期初余额”栏目按照“委托贷款--项目贷款”科目期初借方余额和“逾期贷款--项目逾期贷款（本金）”科目期初借方余额合计分析填列；“其中：逾期贷款余额”栏目按照“逾期贷款--项目逾期贷款（本金）”科目本期期初借方余额填列。</w:t>
      </w:r>
    </w:p>
    <w:p>
      <w:pPr>
        <w:spacing w:line="360" w:lineRule="auto"/>
        <w:rPr>
          <w:rFonts w:hint="eastAsia"/>
          <w:sz w:val="32"/>
          <w:szCs w:val="32"/>
          <w:lang w:val="en-US" w:eastAsia="zh-CN"/>
        </w:rPr>
      </w:pPr>
      <w:r>
        <w:rPr>
          <w:rFonts w:hint="eastAsia"/>
          <w:sz w:val="32"/>
          <w:szCs w:val="32"/>
          <w:lang w:val="en-US" w:eastAsia="zh-CN"/>
        </w:rPr>
        <w:t>（4）“发放项目贷款本金”项目，反映建设项目贷款本金的发放情况。其中，“累计发放”是指按照建设项目历年累计发放金额。本项目中“本期发放”栏目按照“委托贷款--项目贷款”科目本期借方发生额填列，“累计发放”栏目按照“委托贷款--项目贷款”科目各项目历年借方发生额分析填列。</w:t>
      </w:r>
    </w:p>
    <w:p>
      <w:pPr>
        <w:spacing w:line="360" w:lineRule="auto"/>
        <w:rPr>
          <w:rFonts w:hint="eastAsia"/>
          <w:sz w:val="32"/>
          <w:szCs w:val="32"/>
          <w:lang w:val="en-US" w:eastAsia="zh-CN"/>
        </w:rPr>
      </w:pPr>
      <w:r>
        <w:rPr>
          <w:rFonts w:hint="eastAsia"/>
          <w:sz w:val="32"/>
          <w:szCs w:val="32"/>
          <w:lang w:val="en-US" w:eastAsia="zh-CN"/>
        </w:rPr>
        <w:t>（5）“收回项目贷款本金”项目，反映建设项目贷款本金的回收情况。其中，“累计收回”是指按照建设项目历年累计收回金额。本项目中“本期收回”栏目按照“委托贷款--项目贷款”科目和“逾期贷款--项目逾期贷款（本金）”科目本期贷方发生额分析填列；“累计收回”栏目按照“委托贷款--项目贷款”科目和“逾期贷款--项目逾期贷款（本金）”科目各建设项目贷款（项目逾期贷款）历年借方发生额分析填列。</w:t>
      </w:r>
      <w:bookmarkStart w:id="3" w:name="_GoBack"/>
      <w:bookmarkEnd w:id="3"/>
    </w:p>
    <w:p>
      <w:pPr>
        <w:spacing w:line="360" w:lineRule="auto"/>
        <w:rPr>
          <w:rFonts w:hint="eastAsia"/>
          <w:sz w:val="32"/>
          <w:szCs w:val="32"/>
        </w:rPr>
      </w:pPr>
      <w:r>
        <w:rPr>
          <w:rFonts w:hint="eastAsia"/>
          <w:sz w:val="32"/>
          <w:szCs w:val="32"/>
          <w:lang w:val="en-US" w:eastAsia="zh-CN"/>
        </w:rPr>
        <w:t>（6）“期末项目贷款余额”反映截至本期期末已发放但尚未收回的建设项目贷款（包括项目逾期贷款）余额情况。本项目中“期末余额”栏目按照“委托贷款--项目贷款”科目和“逾期贷款--项目逾期贷款（本金）”科目各建设项目贷款（项目逾期贷款）本期借方余额分析填列；“其中：逾期贷款余额”栏目按照“逾期贷款--项目逾期贷款（本金）”科目本期期末借方余额填列。</w:t>
      </w:r>
    </w:p>
    <w:p>
      <w:pPr>
        <w:spacing w:line="360" w:lineRule="auto"/>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366D61"/>
    <w:rsid w:val="55CC04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2017-05-18T01:13:11Z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