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w:t>
      </w:r>
      <w:r>
        <w:rPr>
          <w:rFonts w:hint="eastAsia" w:ascii="黑体" w:hAnsi="黑体" w:eastAsia="黑体" w:cs="黑体"/>
          <w:b/>
          <w:bCs/>
          <w:sz w:val="32"/>
          <w:szCs w:val="32"/>
        </w:rPr>
        <w:t>于印发《残疾人就业保障金征收使用管理办法》的通知</w:t>
      </w:r>
    </w:p>
    <w:p>
      <w:pPr>
        <w:spacing w:line="360" w:lineRule="auto"/>
        <w:jc w:val="center"/>
        <w:rPr>
          <w:rFonts w:hint="eastAsia" w:ascii="黑体" w:hAnsi="黑体" w:eastAsia="黑体" w:cs="黑体"/>
          <w:b/>
          <w:bCs/>
          <w:color w:val="auto"/>
          <w:sz w:val="32"/>
          <w:szCs w:val="32"/>
          <w:lang w:eastAsia="zh-CN"/>
        </w:rPr>
      </w:pPr>
      <w:r>
        <w:rPr>
          <w:rFonts w:hint="eastAsia" w:ascii="黑体" w:hAnsi="黑体" w:eastAsia="黑体" w:cs="黑体"/>
          <w:b/>
          <w:bCs/>
          <w:color w:val="auto"/>
          <w:sz w:val="32"/>
          <w:szCs w:val="32"/>
          <w:lang w:eastAsia="zh-CN"/>
        </w:rPr>
        <w:t>（</w:t>
      </w:r>
      <w:r>
        <w:rPr>
          <w:rFonts w:hint="eastAsia" w:ascii="黑体" w:hAnsi="黑体" w:eastAsia="黑体" w:cs="黑体"/>
          <w:b/>
          <w:bCs/>
          <w:i w:val="0"/>
          <w:caps w:val="0"/>
          <w:color w:val="auto"/>
          <w:spacing w:val="0"/>
          <w:sz w:val="32"/>
          <w:szCs w:val="32"/>
          <w:shd w:val="clear" w:fill="FFFFFF"/>
        </w:rPr>
        <w:t>2015</w:t>
      </w:r>
      <w:r>
        <w:rPr>
          <w:rFonts w:hint="eastAsia" w:ascii="黑体" w:hAnsi="黑体" w:eastAsia="黑体" w:cs="黑体"/>
          <w:b/>
          <w:bCs/>
          <w:i w:val="0"/>
          <w:caps w:val="0"/>
          <w:color w:val="auto"/>
          <w:spacing w:val="0"/>
          <w:sz w:val="32"/>
          <w:szCs w:val="32"/>
          <w:shd w:val="clear" w:fill="FFFFFF"/>
          <w:lang w:eastAsia="zh-CN"/>
        </w:rPr>
        <w:t>年</w:t>
      </w:r>
      <w:r>
        <w:rPr>
          <w:rFonts w:hint="eastAsia" w:ascii="黑体" w:hAnsi="黑体" w:eastAsia="黑体" w:cs="黑体"/>
          <w:b/>
          <w:bCs/>
          <w:i w:val="0"/>
          <w:caps w:val="0"/>
          <w:color w:val="auto"/>
          <w:spacing w:val="0"/>
          <w:sz w:val="32"/>
          <w:szCs w:val="32"/>
          <w:shd w:val="clear" w:fill="FFFFFF"/>
        </w:rPr>
        <w:t>9</w:t>
      </w:r>
      <w:r>
        <w:rPr>
          <w:rFonts w:hint="eastAsia" w:ascii="黑体" w:hAnsi="黑体" w:eastAsia="黑体" w:cs="黑体"/>
          <w:b/>
          <w:bCs/>
          <w:i w:val="0"/>
          <w:caps w:val="0"/>
          <w:color w:val="auto"/>
          <w:spacing w:val="0"/>
          <w:sz w:val="32"/>
          <w:szCs w:val="32"/>
          <w:shd w:val="clear" w:fill="FFFFFF"/>
          <w:lang w:eastAsia="zh-CN"/>
        </w:rPr>
        <w:t>月</w:t>
      </w:r>
      <w:r>
        <w:rPr>
          <w:rFonts w:hint="eastAsia" w:ascii="黑体" w:hAnsi="黑体" w:eastAsia="黑体" w:cs="黑体"/>
          <w:b/>
          <w:bCs/>
          <w:i w:val="0"/>
          <w:caps w:val="0"/>
          <w:color w:val="auto"/>
          <w:spacing w:val="0"/>
          <w:sz w:val="32"/>
          <w:szCs w:val="32"/>
          <w:shd w:val="clear" w:fill="FFFFFF"/>
        </w:rPr>
        <w:t>9</w:t>
      </w:r>
      <w:r>
        <w:rPr>
          <w:rFonts w:hint="eastAsia" w:ascii="黑体" w:hAnsi="黑体" w:eastAsia="黑体" w:cs="黑体"/>
          <w:b/>
          <w:bCs/>
          <w:i w:val="0"/>
          <w:caps w:val="0"/>
          <w:color w:val="auto"/>
          <w:spacing w:val="0"/>
          <w:sz w:val="32"/>
          <w:szCs w:val="32"/>
          <w:shd w:val="clear" w:fill="FFFFFF"/>
          <w:lang w:eastAsia="zh-CN"/>
        </w:rPr>
        <w:t>日，</w:t>
      </w:r>
      <w:r>
        <w:rPr>
          <w:rFonts w:hint="eastAsia" w:ascii="黑体" w:hAnsi="黑体" w:eastAsia="黑体" w:cs="黑体"/>
          <w:b/>
          <w:bCs/>
          <w:i w:val="0"/>
          <w:caps w:val="0"/>
          <w:color w:val="auto"/>
          <w:spacing w:val="0"/>
          <w:sz w:val="32"/>
          <w:szCs w:val="32"/>
          <w:shd w:val="clear" w:fill="FFFFFF"/>
        </w:rPr>
        <w:t>财税〔2015〕72号</w:t>
      </w:r>
      <w:r>
        <w:rPr>
          <w:rFonts w:hint="eastAsia" w:ascii="黑体" w:hAnsi="黑体" w:eastAsia="黑体" w:cs="黑体"/>
          <w:b/>
          <w:bCs/>
          <w:color w:val="auto"/>
          <w:sz w:val="32"/>
          <w:szCs w:val="32"/>
          <w:lang w:eastAsia="zh-CN"/>
        </w:rPr>
        <w:t>）</w:t>
      </w:r>
    </w:p>
    <w:p>
      <w:pPr>
        <w:spacing w:line="360" w:lineRule="auto"/>
        <w:jc w:val="center"/>
        <w:rPr>
          <w:rFonts w:hint="eastAsia" w:ascii="黑体" w:hAnsi="黑体" w:eastAsia="黑体" w:cs="黑体"/>
          <w:b/>
          <w:bCs/>
          <w:color w:val="auto"/>
          <w:sz w:val="32"/>
          <w:szCs w:val="32"/>
          <w:lang w:eastAsia="zh-CN"/>
        </w:rPr>
      </w:pPr>
      <w:bookmarkStart w:id="0" w:name="_GoBack"/>
      <w:bookmarkEnd w:id="0"/>
    </w:p>
    <w:p>
      <w:pPr>
        <w:spacing w:line="360" w:lineRule="auto"/>
        <w:rPr>
          <w:rFonts w:hint="eastAsia" w:ascii="宋体" w:hAnsi="宋体" w:eastAsia="宋体" w:cs="宋体"/>
          <w:b w:val="0"/>
          <w:bCs w:val="0"/>
          <w:sz w:val="32"/>
          <w:szCs w:val="32"/>
        </w:rPr>
      </w:pPr>
      <w:r>
        <w:rPr>
          <w:rFonts w:hint="eastAsia" w:ascii="宋体" w:hAnsi="宋体" w:eastAsia="宋体" w:cs="宋体"/>
          <w:b w:val="0"/>
          <w:bCs w:val="0"/>
          <w:sz w:val="32"/>
          <w:szCs w:val="32"/>
        </w:rPr>
        <w:t>各省、自治区、直辖市财政厅（局）、地方税务局、国家税务局、残疾人联合会：</w:t>
      </w:r>
    </w:p>
    <w:p>
      <w:pPr>
        <w:spacing w:line="360" w:lineRule="auto"/>
        <w:ind w:firstLine="600"/>
        <w:rPr>
          <w:rFonts w:hint="eastAsia" w:ascii="宋体" w:hAnsi="宋体" w:eastAsia="宋体" w:cs="宋体"/>
          <w:sz w:val="32"/>
          <w:szCs w:val="32"/>
        </w:rPr>
      </w:pPr>
      <w:r>
        <w:rPr>
          <w:rFonts w:hint="eastAsia" w:ascii="宋体" w:hAnsi="宋体" w:eastAsia="宋体" w:cs="宋体"/>
          <w:sz w:val="32"/>
          <w:szCs w:val="32"/>
        </w:rPr>
        <w:t>为了规范残疾人就业保障金征收使用管理，促进残疾人就业，保障残疾人权益，根据《残疾人保障法》、《残疾人就业条例》的规定，我们制定了《残疾人就业保障金征收使用管理办法》，现印发给你们，请遵照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附件：残疾人就业保障金征收使用管理办法</w:t>
      </w:r>
    </w:p>
    <w:p>
      <w:pPr>
        <w:spacing w:line="360" w:lineRule="auto"/>
        <w:jc w:val="right"/>
        <w:rPr>
          <w:rFonts w:hint="eastAsia" w:ascii="宋体" w:hAnsi="宋体" w:eastAsia="宋体" w:cs="宋体"/>
          <w:sz w:val="32"/>
          <w:szCs w:val="32"/>
        </w:rPr>
      </w:pPr>
    </w:p>
    <w:p>
      <w:pPr>
        <w:spacing w:line="360" w:lineRule="auto"/>
        <w:ind w:firstLine="600"/>
        <w:jc w:val="right"/>
        <w:rPr>
          <w:rFonts w:hint="eastAsia" w:ascii="宋体" w:hAnsi="宋体" w:eastAsia="宋体" w:cs="宋体"/>
          <w:sz w:val="32"/>
          <w:szCs w:val="32"/>
        </w:rPr>
      </w:pPr>
      <w:r>
        <w:rPr>
          <w:rFonts w:hint="eastAsia" w:ascii="宋体" w:hAnsi="宋体" w:eastAsia="宋体" w:cs="宋体"/>
          <w:sz w:val="32"/>
          <w:szCs w:val="32"/>
        </w:rPr>
        <w:t>财政部</w:t>
      </w:r>
    </w:p>
    <w:p>
      <w:pPr>
        <w:spacing w:line="360" w:lineRule="auto"/>
        <w:ind w:firstLine="600"/>
        <w:jc w:val="right"/>
        <w:rPr>
          <w:rFonts w:hint="eastAsia" w:ascii="宋体" w:hAnsi="宋体" w:eastAsia="宋体" w:cs="宋体"/>
          <w:sz w:val="32"/>
          <w:szCs w:val="32"/>
        </w:rPr>
      </w:pPr>
      <w:r>
        <w:rPr>
          <w:rFonts w:hint="eastAsia" w:ascii="宋体" w:hAnsi="宋体" w:eastAsia="宋体" w:cs="宋体"/>
          <w:sz w:val="32"/>
          <w:szCs w:val="32"/>
        </w:rPr>
        <w:t>国家税务总局</w:t>
      </w:r>
    </w:p>
    <w:p>
      <w:pPr>
        <w:spacing w:line="360" w:lineRule="auto"/>
        <w:ind w:firstLine="600"/>
        <w:jc w:val="right"/>
        <w:rPr>
          <w:rFonts w:hint="eastAsia" w:ascii="宋体" w:hAnsi="宋体" w:eastAsia="宋体" w:cs="宋体"/>
          <w:sz w:val="32"/>
          <w:szCs w:val="32"/>
        </w:rPr>
      </w:pPr>
      <w:r>
        <w:rPr>
          <w:rFonts w:hint="eastAsia" w:ascii="宋体" w:hAnsi="宋体" w:eastAsia="宋体" w:cs="宋体"/>
          <w:sz w:val="32"/>
          <w:szCs w:val="32"/>
        </w:rPr>
        <w:t>中国残疾人联合会</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2015年9月9日</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r>
        <w:rPr>
          <w:rFonts w:hint="eastAsia" w:ascii="宋体" w:hAnsi="宋体" w:eastAsia="宋体" w:cs="宋体"/>
          <w:sz w:val="32"/>
          <w:szCs w:val="32"/>
        </w:rPr>
        <w:br w:type="page"/>
      </w:r>
    </w:p>
    <w:p>
      <w:pPr>
        <w:spacing w:line="360" w:lineRule="auto"/>
        <w:rPr>
          <w:rFonts w:hint="eastAsia" w:ascii="宋体" w:hAnsi="宋体" w:eastAsia="宋体" w:cs="宋体"/>
          <w:sz w:val="32"/>
          <w:szCs w:val="32"/>
        </w:rPr>
      </w:pPr>
      <w:r>
        <w:rPr>
          <w:rFonts w:hint="eastAsia" w:ascii="宋体" w:hAnsi="宋体" w:eastAsia="宋体" w:cs="宋体"/>
          <w:sz w:val="32"/>
          <w:szCs w:val="32"/>
        </w:rPr>
        <w:t>附件：</w:t>
      </w:r>
    </w:p>
    <w:p>
      <w:pPr>
        <w:spacing w:line="360" w:lineRule="auto"/>
        <w:jc w:val="center"/>
        <w:rPr>
          <w:rFonts w:hint="eastAsia" w:ascii="宋体" w:hAnsi="宋体" w:eastAsia="宋体" w:cs="宋体"/>
          <w:sz w:val="32"/>
          <w:szCs w:val="32"/>
        </w:rPr>
      </w:pPr>
      <w:r>
        <w:rPr>
          <w:rFonts w:hint="eastAsia" w:ascii="宋体" w:hAnsi="宋体" w:eastAsia="宋体" w:cs="宋体"/>
          <w:b/>
          <w:bCs/>
          <w:sz w:val="32"/>
          <w:szCs w:val="32"/>
        </w:rPr>
        <w:t>残疾人就业保障金征收使用管理办法</w:t>
      </w:r>
    </w:p>
    <w:p>
      <w:pPr>
        <w:spacing w:line="360" w:lineRule="auto"/>
        <w:jc w:val="center"/>
        <w:rPr>
          <w:rFonts w:hint="eastAsia" w:ascii="宋体" w:hAnsi="宋体" w:eastAsia="宋体" w:cs="宋体"/>
          <w:sz w:val="32"/>
          <w:szCs w:val="32"/>
        </w:rPr>
      </w:pPr>
      <w:r>
        <w:rPr>
          <w:rFonts w:hint="eastAsia" w:ascii="宋体" w:hAnsi="宋体" w:eastAsia="宋体" w:cs="宋体"/>
          <w:b/>
          <w:bCs/>
          <w:sz w:val="32"/>
          <w:szCs w:val="32"/>
        </w:rPr>
        <w:t>第一章 总 则</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第一条</w:t>
      </w:r>
      <w:r>
        <w:rPr>
          <w:rFonts w:hint="eastAsia" w:ascii="宋体" w:hAnsi="宋体" w:eastAsia="宋体" w:cs="宋体"/>
          <w:sz w:val="32"/>
          <w:szCs w:val="32"/>
        </w:rPr>
        <w:t xml:space="preserve"> 为了规范残疾人就业保障金（以下简称保障金）征收使用管理，促进残疾人就业，根据《残疾人保障法》、《残疾人就业条例》的规定，制定本办法。</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第二条 </w:t>
      </w:r>
      <w:r>
        <w:rPr>
          <w:rFonts w:hint="eastAsia" w:ascii="宋体" w:hAnsi="宋体" w:eastAsia="宋体" w:cs="宋体"/>
          <w:sz w:val="32"/>
          <w:szCs w:val="32"/>
        </w:rPr>
        <w:t>保障金是为保障残疾人权益，由未按规定安排残疾人就业的机关、团体、企业、事业单位和民办非企业单位（以下简称用人单位）缴纳的资金。</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第三条</w:t>
      </w:r>
      <w:r>
        <w:rPr>
          <w:rFonts w:hint="eastAsia" w:ascii="宋体" w:hAnsi="宋体" w:eastAsia="宋体" w:cs="宋体"/>
          <w:sz w:val="32"/>
          <w:szCs w:val="32"/>
        </w:rPr>
        <w:t xml:space="preserve"> 保障金的征收、使用和管理，适用本办法。</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第四条</w:t>
      </w:r>
      <w:r>
        <w:rPr>
          <w:rFonts w:hint="eastAsia" w:ascii="宋体" w:hAnsi="宋体" w:eastAsia="宋体" w:cs="宋体"/>
          <w:sz w:val="32"/>
          <w:szCs w:val="32"/>
        </w:rPr>
        <w:t xml:space="preserve"> 本办法所称残疾人，是指持有《中华人民共和国残疾人证》上注明属于视力残疾、听力残疾、言语残疾、肢体残疾、智力残疾、精神残疾和多重残疾的人员，或者持有《中华人民共和国残疾军人证》（1至8级）的人员。</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第五条</w:t>
      </w:r>
      <w:r>
        <w:rPr>
          <w:rFonts w:hint="eastAsia" w:ascii="宋体" w:hAnsi="宋体" w:eastAsia="宋体" w:cs="宋体"/>
          <w:sz w:val="32"/>
          <w:szCs w:val="32"/>
        </w:rPr>
        <w:t xml:space="preserve"> 保障金的征收、使用和管理应当接受财政部门的监督检查和审计机关的审计监督。</w:t>
      </w:r>
    </w:p>
    <w:p>
      <w:pPr>
        <w:spacing w:line="360" w:lineRule="auto"/>
        <w:jc w:val="center"/>
        <w:rPr>
          <w:rFonts w:hint="eastAsia" w:ascii="宋体" w:hAnsi="宋体" w:eastAsia="宋体" w:cs="宋体"/>
          <w:sz w:val="32"/>
          <w:szCs w:val="32"/>
        </w:rPr>
      </w:pPr>
      <w:r>
        <w:rPr>
          <w:rFonts w:hint="eastAsia" w:ascii="宋体" w:hAnsi="宋体" w:eastAsia="宋体" w:cs="宋体"/>
          <w:b/>
          <w:bCs/>
          <w:sz w:val="32"/>
          <w:szCs w:val="32"/>
        </w:rPr>
        <w:t>第二章 征收缴库</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第六条</w:t>
      </w:r>
      <w:r>
        <w:rPr>
          <w:rFonts w:hint="eastAsia" w:ascii="宋体" w:hAnsi="宋体" w:eastAsia="宋体" w:cs="宋体"/>
          <w:sz w:val="32"/>
          <w:szCs w:val="32"/>
        </w:rPr>
        <w:t xml:space="preserve"> 用人单位安排残疾人就业的比例不得低于本单位在职职工总数的1.5%。具体比例由各省、自治区、直辖市人民政府根据本地区的实际情况规定。</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用人单位安排残疾人就业达不到其所在地省、自治区、直辖市人民政府规定比例的，应当缴纳保障金。</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第七条</w:t>
      </w:r>
      <w:r>
        <w:rPr>
          <w:rFonts w:hint="eastAsia" w:ascii="宋体" w:hAnsi="宋体" w:eastAsia="宋体" w:cs="宋体"/>
          <w:sz w:val="32"/>
          <w:szCs w:val="32"/>
        </w:rPr>
        <w:t xml:space="preserve"> 用人单位将残疾人录用为在编人员或依法与就业年龄段内的残疾人签订1年以上（含1年）劳动合同（服务协议），且实际支付的工资不低于当地最低工资标准，并足额缴纳社会保险费的，方可计入用人单位所安排的残疾人就业人数。</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用人单位安排1名持有《中华人民共和国残疾人证》（1至2级）或《中华人民共和国残疾军人证》（1至3级）的人员就业的，按照安排2名残疾人就业计算。</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用人单位跨地区招用残疾人的，应当计入所安排的残疾人就业人数。</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第八条 </w:t>
      </w:r>
      <w:r>
        <w:rPr>
          <w:rFonts w:hint="eastAsia" w:ascii="宋体" w:hAnsi="宋体" w:eastAsia="宋体" w:cs="宋体"/>
          <w:sz w:val="32"/>
          <w:szCs w:val="32"/>
        </w:rPr>
        <w:t>保障金按上年用人单位安排残疾人就业未达到规定比例的差额人数和本单位在职职工年平均工资之积计算缴纳。计算公式如下：</w:t>
      </w:r>
    </w:p>
    <w:p>
      <w:pPr>
        <w:spacing w:line="360" w:lineRule="auto"/>
        <w:rPr>
          <w:rFonts w:hint="eastAsia" w:ascii="宋体" w:hAnsi="宋体" w:eastAsia="宋体" w:cs="宋体"/>
          <w:sz w:val="32"/>
          <w:szCs w:val="32"/>
        </w:rPr>
      </w:pPr>
      <w:r>
        <w:rPr>
          <w:rFonts w:hint="eastAsia" w:ascii="宋体" w:hAnsi="宋体" w:eastAsia="宋体" w:cs="宋体"/>
          <w:sz w:val="32"/>
          <w:szCs w:val="32"/>
        </w:rPr>
        <w:t>保障金年缴纳额=（上年用人单位在职职工人数×所在地省、自治区、直辖市人民政府规定的安排残疾人就业比例-上年用人单位实际安排的残疾人就业人数）×上年用人单位在职职工年平均工资。</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用人单位在职职工，是指用人单位在编人员或依法与用人单位签订1年以上（含1年）劳动合同（服务协议）的人员。季节性用工应当折算为年平均用工人数。以劳务派遣用工的，计入派遣单位在职职工人数。</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用人单位安排残疾人就业未达到规定比例的差额人数，以公式计算结果为准，可以不是整数。</w:t>
      </w:r>
    </w:p>
    <w:p>
      <w:pPr>
        <w:spacing w:line="360" w:lineRule="auto"/>
        <w:rPr>
          <w:rFonts w:hint="eastAsia" w:ascii="宋体" w:hAnsi="宋体" w:eastAsia="宋体" w:cs="宋体"/>
          <w:sz w:val="32"/>
          <w:szCs w:val="32"/>
        </w:rPr>
      </w:pPr>
      <w:r>
        <w:rPr>
          <w:rFonts w:hint="eastAsia" w:ascii="宋体" w:hAnsi="宋体" w:eastAsia="宋体" w:cs="宋体"/>
          <w:sz w:val="32"/>
          <w:szCs w:val="32"/>
        </w:rPr>
        <w:t>上年用人单位在职职工年平均工资，按用人单位上年在职职工工资总额除以用人单位在职职工人数计算。</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第九条</w:t>
      </w:r>
      <w:r>
        <w:rPr>
          <w:rFonts w:hint="eastAsia" w:ascii="宋体" w:hAnsi="宋体" w:eastAsia="宋体" w:cs="宋体"/>
          <w:sz w:val="32"/>
          <w:szCs w:val="32"/>
        </w:rPr>
        <w:t xml:space="preserve"> 保障金由用人单位所在地的地方税务局负责征收。没有分设地方税务局的地方，由国家税务局负责征收。</w:t>
      </w:r>
    </w:p>
    <w:p>
      <w:pPr>
        <w:spacing w:line="360" w:lineRule="auto"/>
        <w:rPr>
          <w:rFonts w:hint="eastAsia" w:ascii="宋体" w:hAnsi="宋体" w:eastAsia="宋体" w:cs="宋体"/>
          <w:sz w:val="32"/>
          <w:szCs w:val="32"/>
        </w:rPr>
      </w:pPr>
      <w:r>
        <w:rPr>
          <w:rFonts w:hint="eastAsia" w:ascii="宋体" w:hAnsi="宋体" w:eastAsia="宋体" w:cs="宋体"/>
          <w:sz w:val="32"/>
          <w:szCs w:val="32"/>
        </w:rPr>
        <w:t>有关省、自治区、直辖市对保障金征收机关另有规定的，按其规定执行。</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第十条</w:t>
      </w:r>
      <w:r>
        <w:rPr>
          <w:rFonts w:hint="eastAsia" w:ascii="宋体" w:hAnsi="宋体" w:eastAsia="宋体" w:cs="宋体"/>
          <w:sz w:val="32"/>
          <w:szCs w:val="32"/>
        </w:rPr>
        <w:t xml:space="preserve"> 保障金一般按月缴纳。</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用人单位应按规定时限向保障金征收机关申报缴纳保障金。在申报时，应提供本单位在职职工人数、实际安排残疾人就业人数、在职职工年平均工资等信息，并保证信息的真实性和完整性。</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第十一条</w:t>
      </w:r>
      <w:r>
        <w:rPr>
          <w:rFonts w:hint="eastAsia" w:ascii="宋体" w:hAnsi="宋体" w:eastAsia="宋体" w:cs="宋体"/>
          <w:sz w:val="32"/>
          <w:szCs w:val="32"/>
        </w:rPr>
        <w:t xml:space="preserve"> 保障金征收机关应当定期对用人单位进行检查。发现用人单位申报不实、少缴纳保障金的，征收机关应当催报并追缴保障金。</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第十二条</w:t>
      </w:r>
      <w:r>
        <w:rPr>
          <w:rFonts w:hint="eastAsia" w:ascii="宋体" w:hAnsi="宋体" w:eastAsia="宋体" w:cs="宋体"/>
          <w:sz w:val="32"/>
          <w:szCs w:val="32"/>
        </w:rPr>
        <w:t xml:space="preserve"> 残疾人就业服务机构应当配合保障金征收机关做好保障金征收工作。</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用人单位应按规定时限如实向残疾人就业服务机构申报上年本单位安排的残疾人就业人数。未在规定时限申报的，视为未安排残疾人就业。</w:t>
      </w:r>
    </w:p>
    <w:p>
      <w:pPr>
        <w:spacing w:line="360" w:lineRule="auto"/>
        <w:rPr>
          <w:rFonts w:hint="eastAsia" w:ascii="宋体" w:hAnsi="宋体" w:eastAsia="宋体" w:cs="宋体"/>
          <w:sz w:val="32"/>
          <w:szCs w:val="32"/>
        </w:rPr>
      </w:pPr>
      <w:r>
        <w:rPr>
          <w:rFonts w:hint="eastAsia" w:ascii="宋体" w:hAnsi="宋体" w:eastAsia="宋体" w:cs="宋体"/>
          <w:sz w:val="32"/>
          <w:szCs w:val="32"/>
        </w:rPr>
        <w:t>残疾人就业服务机构进行审核后，确定用人单位实际安排的残疾人就业人数，并及时提供给保障金征收机关。</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第十三条</w:t>
      </w:r>
      <w:r>
        <w:rPr>
          <w:rFonts w:hint="eastAsia" w:ascii="宋体" w:hAnsi="宋体" w:eastAsia="宋体" w:cs="宋体"/>
          <w:sz w:val="32"/>
          <w:szCs w:val="32"/>
        </w:rPr>
        <w:t xml:space="preserve"> 保障金征收机关征收保障金时，应当向用人单位开具省级财政部门统一印制的票据或税收票证。</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第十四条</w:t>
      </w:r>
      <w:r>
        <w:rPr>
          <w:rFonts w:hint="eastAsia" w:ascii="宋体" w:hAnsi="宋体" w:eastAsia="宋体" w:cs="宋体"/>
          <w:sz w:val="32"/>
          <w:szCs w:val="32"/>
        </w:rPr>
        <w:t xml:space="preserve"> 保障金全额缴入地方国库。</w:t>
      </w:r>
    </w:p>
    <w:p>
      <w:pPr>
        <w:spacing w:line="360" w:lineRule="auto"/>
        <w:rPr>
          <w:rFonts w:hint="eastAsia" w:ascii="宋体" w:hAnsi="宋体" w:eastAsia="宋体" w:cs="宋体"/>
          <w:sz w:val="32"/>
          <w:szCs w:val="32"/>
        </w:rPr>
      </w:pPr>
      <w:r>
        <w:rPr>
          <w:rFonts w:hint="eastAsia" w:ascii="宋体" w:hAnsi="宋体" w:eastAsia="宋体" w:cs="宋体"/>
          <w:sz w:val="32"/>
          <w:szCs w:val="32"/>
        </w:rPr>
        <w:t>地方各级人民政府之间保障金的分配比例，由各省、自治区、直辖市财政部门商残疾人联合会确定。</w:t>
      </w:r>
    </w:p>
    <w:p>
      <w:pPr>
        <w:spacing w:line="360" w:lineRule="auto"/>
        <w:rPr>
          <w:rFonts w:hint="eastAsia" w:ascii="宋体" w:hAnsi="宋体" w:eastAsia="宋体" w:cs="宋体"/>
          <w:sz w:val="32"/>
          <w:szCs w:val="32"/>
        </w:rPr>
      </w:pPr>
      <w:r>
        <w:rPr>
          <w:rFonts w:hint="eastAsia" w:ascii="宋体" w:hAnsi="宋体" w:eastAsia="宋体" w:cs="宋体"/>
          <w:sz w:val="32"/>
          <w:szCs w:val="32"/>
        </w:rPr>
        <w:t>具体缴库办法按照省级财政部门的规定执行。</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第十五条</w:t>
      </w:r>
      <w:r>
        <w:rPr>
          <w:rFonts w:hint="eastAsia" w:ascii="宋体" w:hAnsi="宋体" w:eastAsia="宋体" w:cs="宋体"/>
          <w:sz w:val="32"/>
          <w:szCs w:val="32"/>
        </w:rPr>
        <w:t xml:space="preserve"> 保障金由税务机关负责征收的，应积极采取财税库银税收收入电子缴库横向联网方式征缴保障金。</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第十六条</w:t>
      </w:r>
      <w:r>
        <w:rPr>
          <w:rFonts w:hint="eastAsia" w:ascii="宋体" w:hAnsi="宋体" w:eastAsia="宋体" w:cs="宋体"/>
          <w:sz w:val="32"/>
          <w:szCs w:val="32"/>
        </w:rPr>
        <w:t xml:space="preserve"> 自工商登记注册之日起3年内，对安排残疾人就业未达到规定比例、在职职工总数20人以下（含20人）的小微企业，免征保障金。</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第十七条</w:t>
      </w:r>
      <w:r>
        <w:rPr>
          <w:rFonts w:hint="eastAsia" w:ascii="宋体" w:hAnsi="宋体" w:eastAsia="宋体" w:cs="宋体"/>
          <w:sz w:val="32"/>
          <w:szCs w:val="32"/>
        </w:rPr>
        <w:t xml:space="preserve"> 用人单位遇不可抗力自然灾害或其他突发事件遭受重大直接经济损失，可以申请减免或者缓缴保障金。具体办法由各省、自治区、直辖市财政部门规定。</w:t>
      </w:r>
    </w:p>
    <w:p>
      <w:pPr>
        <w:spacing w:line="360" w:lineRule="auto"/>
        <w:rPr>
          <w:rFonts w:hint="eastAsia" w:ascii="宋体" w:hAnsi="宋体" w:eastAsia="宋体" w:cs="宋体"/>
          <w:sz w:val="32"/>
          <w:szCs w:val="32"/>
        </w:rPr>
      </w:pPr>
      <w:r>
        <w:rPr>
          <w:rFonts w:hint="eastAsia" w:ascii="宋体" w:hAnsi="宋体" w:eastAsia="宋体" w:cs="宋体"/>
          <w:sz w:val="32"/>
          <w:szCs w:val="32"/>
        </w:rPr>
        <w:t>用人单位申请减免保障金的最高限额不得超过1年的保障金应缴额，申请缓缴保障金的最长期限不得超过6个月。</w:t>
      </w:r>
    </w:p>
    <w:p>
      <w:pPr>
        <w:spacing w:line="360" w:lineRule="auto"/>
        <w:rPr>
          <w:rFonts w:hint="eastAsia" w:ascii="宋体" w:hAnsi="宋体" w:eastAsia="宋体" w:cs="宋体"/>
          <w:sz w:val="32"/>
          <w:szCs w:val="32"/>
        </w:rPr>
      </w:pPr>
      <w:r>
        <w:rPr>
          <w:rFonts w:hint="eastAsia" w:ascii="宋体" w:hAnsi="宋体" w:eastAsia="宋体" w:cs="宋体"/>
          <w:sz w:val="32"/>
          <w:szCs w:val="32"/>
        </w:rPr>
        <w:t>批准减免或者缓缴保障金的用人单位名单，应当每年公告一次。公告内容应当包括批准机关、批准文号、批准减免或缓缴保障金的主要理由等。</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第十八条</w:t>
      </w:r>
      <w:r>
        <w:rPr>
          <w:rFonts w:hint="eastAsia" w:ascii="宋体" w:hAnsi="宋体" w:eastAsia="宋体" w:cs="宋体"/>
          <w:sz w:val="32"/>
          <w:szCs w:val="32"/>
        </w:rPr>
        <w:t xml:space="preserve"> 保障金征收机关应当严格按规定的范围、标准和时限要求征收保障金，确保保障金及时、足额征缴到位。</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第十九条</w:t>
      </w:r>
      <w:r>
        <w:rPr>
          <w:rFonts w:hint="eastAsia" w:ascii="宋体" w:hAnsi="宋体" w:eastAsia="宋体" w:cs="宋体"/>
          <w:sz w:val="32"/>
          <w:szCs w:val="32"/>
        </w:rPr>
        <w:t xml:space="preserve"> 任何单位和个人均不得违反本办法规定，擅自减免或缓征保障金，不得自行改变保障金的征收对象、范围和标准。</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第二十条</w:t>
      </w:r>
      <w:r>
        <w:rPr>
          <w:rFonts w:hint="eastAsia" w:ascii="宋体" w:hAnsi="宋体" w:eastAsia="宋体" w:cs="宋体"/>
          <w:sz w:val="32"/>
          <w:szCs w:val="32"/>
        </w:rPr>
        <w:t xml:space="preserve"> 各地应当建立用人单位按比例安排残疾人就业及缴纳保障金公示制度。</w:t>
      </w:r>
    </w:p>
    <w:p>
      <w:pPr>
        <w:spacing w:line="360" w:lineRule="auto"/>
        <w:rPr>
          <w:rFonts w:hint="eastAsia" w:ascii="宋体" w:hAnsi="宋体" w:eastAsia="宋体" w:cs="宋体"/>
          <w:sz w:val="32"/>
          <w:szCs w:val="32"/>
        </w:rPr>
      </w:pPr>
      <w:r>
        <w:rPr>
          <w:rFonts w:hint="eastAsia" w:ascii="宋体" w:hAnsi="宋体" w:eastAsia="宋体" w:cs="宋体"/>
          <w:sz w:val="32"/>
          <w:szCs w:val="32"/>
        </w:rPr>
        <w:t>残疾人联合会应当每年向社会公布本地区用人单位应安排残疾人就业人数、实际安排残疾人就业人数和未按规定安排残疾人就业人数。</w:t>
      </w:r>
    </w:p>
    <w:p>
      <w:pPr>
        <w:spacing w:line="360" w:lineRule="auto"/>
        <w:rPr>
          <w:rFonts w:hint="eastAsia" w:ascii="宋体" w:hAnsi="宋体" w:eastAsia="宋体" w:cs="宋体"/>
          <w:sz w:val="32"/>
          <w:szCs w:val="32"/>
        </w:rPr>
      </w:pPr>
      <w:r>
        <w:rPr>
          <w:rFonts w:hint="eastAsia" w:ascii="宋体" w:hAnsi="宋体" w:eastAsia="宋体" w:cs="宋体"/>
          <w:sz w:val="32"/>
          <w:szCs w:val="32"/>
        </w:rPr>
        <w:t>保障金征收机关应当定期向社会公布本地区用人单位缴纳保障金情况。</w:t>
      </w:r>
    </w:p>
    <w:p>
      <w:pPr>
        <w:spacing w:line="360" w:lineRule="auto"/>
        <w:jc w:val="center"/>
        <w:rPr>
          <w:rFonts w:hint="eastAsia" w:ascii="宋体" w:hAnsi="宋体" w:eastAsia="宋体" w:cs="宋体"/>
          <w:sz w:val="32"/>
          <w:szCs w:val="32"/>
        </w:rPr>
      </w:pPr>
      <w:r>
        <w:rPr>
          <w:rFonts w:hint="eastAsia" w:ascii="宋体" w:hAnsi="宋体" w:eastAsia="宋体" w:cs="宋体"/>
          <w:b/>
          <w:bCs/>
          <w:sz w:val="32"/>
          <w:szCs w:val="32"/>
        </w:rPr>
        <w:t>第三章 使用管理</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第二十一条</w:t>
      </w:r>
      <w:r>
        <w:rPr>
          <w:rFonts w:hint="eastAsia" w:ascii="宋体" w:hAnsi="宋体" w:eastAsia="宋体" w:cs="宋体"/>
          <w:sz w:val="32"/>
          <w:szCs w:val="32"/>
        </w:rPr>
        <w:t xml:space="preserve"> 保障金纳入地方一般公共预算统筹安排，主要用于支持残疾人就业和保障残疾人生活。支持方向包括：</w:t>
      </w:r>
    </w:p>
    <w:p>
      <w:pPr>
        <w:spacing w:line="360" w:lineRule="auto"/>
        <w:rPr>
          <w:rFonts w:hint="eastAsia" w:ascii="宋体" w:hAnsi="宋体" w:eastAsia="宋体" w:cs="宋体"/>
          <w:sz w:val="32"/>
          <w:szCs w:val="32"/>
        </w:rPr>
      </w:pPr>
      <w:r>
        <w:rPr>
          <w:rFonts w:hint="eastAsia" w:ascii="宋体" w:hAnsi="宋体" w:eastAsia="宋体" w:cs="宋体"/>
          <w:sz w:val="32"/>
          <w:szCs w:val="32"/>
        </w:rPr>
        <w:t>（一）残疾人职业培训、职业教育和职业康复支出。</w:t>
      </w:r>
    </w:p>
    <w:p>
      <w:pPr>
        <w:spacing w:line="360" w:lineRule="auto"/>
        <w:rPr>
          <w:rFonts w:hint="eastAsia" w:ascii="宋体" w:hAnsi="宋体" w:eastAsia="宋体" w:cs="宋体"/>
          <w:sz w:val="32"/>
          <w:szCs w:val="32"/>
        </w:rPr>
      </w:pPr>
      <w:r>
        <w:rPr>
          <w:rFonts w:hint="eastAsia" w:ascii="宋体" w:hAnsi="宋体" w:eastAsia="宋体" w:cs="宋体"/>
          <w:sz w:val="32"/>
          <w:szCs w:val="32"/>
        </w:rPr>
        <w:t>（二）残疾人就业服务机构提供残疾人就业服务和组织职业技能竞赛（含展能活动）支出。补贴用人单位安排残疾人就业所需设施设备购置、改造和支持性服务费用。补贴辅助性就业机构建设和运行费用。</w:t>
      </w:r>
    </w:p>
    <w:p>
      <w:pPr>
        <w:spacing w:line="360" w:lineRule="auto"/>
        <w:rPr>
          <w:rFonts w:hint="eastAsia" w:ascii="宋体" w:hAnsi="宋体" w:eastAsia="宋体" w:cs="宋体"/>
          <w:sz w:val="32"/>
          <w:szCs w:val="32"/>
        </w:rPr>
      </w:pPr>
      <w:r>
        <w:rPr>
          <w:rFonts w:hint="eastAsia" w:ascii="宋体" w:hAnsi="宋体" w:eastAsia="宋体" w:cs="宋体"/>
          <w:sz w:val="32"/>
          <w:szCs w:val="32"/>
        </w:rPr>
        <w:t>（三）残疾人从事个体经营、自主创业、灵活就业的经营场所租赁、启动资金、设施设备购置补贴和小额贷款贴息。各种形式就业残疾人的社会保险缴费补贴和用人单位岗位补贴。扶持农村残疾人从事种植、养殖、手工业及其他形式生产劳动。</w:t>
      </w:r>
    </w:p>
    <w:p>
      <w:pPr>
        <w:spacing w:line="360" w:lineRule="auto"/>
        <w:rPr>
          <w:rFonts w:hint="eastAsia" w:ascii="宋体" w:hAnsi="宋体" w:eastAsia="宋体" w:cs="宋体"/>
          <w:sz w:val="32"/>
          <w:szCs w:val="32"/>
        </w:rPr>
      </w:pPr>
      <w:r>
        <w:rPr>
          <w:rFonts w:hint="eastAsia" w:ascii="宋体" w:hAnsi="宋体" w:eastAsia="宋体" w:cs="宋体"/>
          <w:sz w:val="32"/>
          <w:szCs w:val="32"/>
        </w:rPr>
        <w:t>（四）奖励超比例安排残疾人就业的用人单位，以及为安排残疾人就业做出显著成绩的单位或个人。</w:t>
      </w:r>
    </w:p>
    <w:p>
      <w:pPr>
        <w:spacing w:line="360" w:lineRule="auto"/>
        <w:rPr>
          <w:rFonts w:hint="eastAsia" w:ascii="宋体" w:hAnsi="宋体" w:eastAsia="宋体" w:cs="宋体"/>
          <w:sz w:val="32"/>
          <w:szCs w:val="32"/>
        </w:rPr>
      </w:pPr>
      <w:r>
        <w:rPr>
          <w:rFonts w:hint="eastAsia" w:ascii="宋体" w:hAnsi="宋体" w:eastAsia="宋体" w:cs="宋体"/>
          <w:sz w:val="32"/>
          <w:szCs w:val="32"/>
        </w:rPr>
        <w:t>（五）对从事公益性岗位就业、辅助性就业、灵活就业，收入达不到当地最低工资标准、生活确有困难的残疾人的救济补助。</w:t>
      </w:r>
    </w:p>
    <w:p>
      <w:pPr>
        <w:spacing w:line="360" w:lineRule="auto"/>
        <w:rPr>
          <w:rFonts w:hint="eastAsia" w:ascii="宋体" w:hAnsi="宋体" w:eastAsia="宋体" w:cs="宋体"/>
          <w:sz w:val="32"/>
          <w:szCs w:val="32"/>
        </w:rPr>
      </w:pPr>
      <w:r>
        <w:rPr>
          <w:rFonts w:hint="eastAsia" w:ascii="宋体" w:hAnsi="宋体" w:eastAsia="宋体" w:cs="宋体"/>
          <w:sz w:val="32"/>
          <w:szCs w:val="32"/>
        </w:rPr>
        <w:t>（六）经地方人民政府及其财政部门批准用于促进残疾人就业和保障困难残疾人、重度残疾人生活等其他支出。</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第二十二条</w:t>
      </w:r>
      <w:r>
        <w:rPr>
          <w:rFonts w:hint="eastAsia" w:ascii="宋体" w:hAnsi="宋体" w:eastAsia="宋体" w:cs="宋体"/>
          <w:sz w:val="32"/>
          <w:szCs w:val="32"/>
        </w:rPr>
        <w:t xml:space="preserve"> 地方各级残疾人联合会所属残疾人就业服务机构的正常经费开支，由地方同级财政预算统筹安排。</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第二十三条</w:t>
      </w:r>
      <w:r>
        <w:rPr>
          <w:rFonts w:hint="eastAsia" w:ascii="宋体" w:hAnsi="宋体" w:eastAsia="宋体" w:cs="宋体"/>
          <w:sz w:val="32"/>
          <w:szCs w:val="32"/>
        </w:rPr>
        <w:t xml:space="preserve"> 各地要积极推行政府购买服务，按照政府采购法律制度规定选择符合要求的公办、民办等各类就业服务机构，承接残疾人职业培训、职业教育、职业康复、就业服务和就业援助等工作。</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第二十四条</w:t>
      </w:r>
      <w:r>
        <w:rPr>
          <w:rFonts w:hint="eastAsia" w:ascii="宋体" w:hAnsi="宋体" w:eastAsia="宋体" w:cs="宋体"/>
          <w:sz w:val="32"/>
          <w:szCs w:val="32"/>
        </w:rPr>
        <w:t xml:space="preserve"> 地方各级残疾人联合会、财政部门应当每年向社会公布保障金用于支持残疾人就业和保障残疾人生活支出情况，接受社会监督。</w:t>
      </w:r>
    </w:p>
    <w:p>
      <w:pPr>
        <w:spacing w:line="360" w:lineRule="auto"/>
        <w:jc w:val="center"/>
        <w:rPr>
          <w:rFonts w:hint="eastAsia" w:ascii="宋体" w:hAnsi="宋体" w:eastAsia="宋体" w:cs="宋体"/>
          <w:sz w:val="32"/>
          <w:szCs w:val="32"/>
        </w:rPr>
      </w:pPr>
      <w:r>
        <w:rPr>
          <w:rFonts w:hint="eastAsia" w:ascii="宋体" w:hAnsi="宋体" w:eastAsia="宋体" w:cs="宋体"/>
          <w:b/>
          <w:bCs/>
          <w:sz w:val="32"/>
          <w:szCs w:val="32"/>
        </w:rPr>
        <w:t>第四章 法律责任</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第二十五条</w:t>
      </w:r>
      <w:r>
        <w:rPr>
          <w:rFonts w:hint="eastAsia" w:ascii="宋体" w:hAnsi="宋体" w:eastAsia="宋体" w:cs="宋体"/>
          <w:sz w:val="32"/>
          <w:szCs w:val="32"/>
        </w:rPr>
        <w:t xml:space="preserve"> 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w:t>
      </w:r>
    </w:p>
    <w:p>
      <w:pPr>
        <w:spacing w:line="360" w:lineRule="auto"/>
        <w:rPr>
          <w:rFonts w:hint="eastAsia" w:ascii="宋体" w:hAnsi="宋体" w:eastAsia="宋体" w:cs="宋体"/>
          <w:sz w:val="32"/>
          <w:szCs w:val="32"/>
        </w:rPr>
      </w:pPr>
      <w:r>
        <w:rPr>
          <w:rFonts w:hint="eastAsia" w:ascii="宋体" w:hAnsi="宋体" w:eastAsia="宋体" w:cs="宋体"/>
          <w:sz w:val="32"/>
          <w:szCs w:val="32"/>
        </w:rPr>
        <w:t>（一）擅自减免保障金或者改变保障金征收范围、对象和标准的；</w:t>
      </w:r>
    </w:p>
    <w:p>
      <w:pPr>
        <w:spacing w:line="360" w:lineRule="auto"/>
        <w:rPr>
          <w:rFonts w:hint="eastAsia" w:ascii="宋体" w:hAnsi="宋体" w:eastAsia="宋体" w:cs="宋体"/>
          <w:sz w:val="32"/>
          <w:szCs w:val="32"/>
        </w:rPr>
      </w:pPr>
      <w:r>
        <w:rPr>
          <w:rFonts w:hint="eastAsia" w:ascii="宋体" w:hAnsi="宋体" w:eastAsia="宋体" w:cs="宋体"/>
          <w:sz w:val="32"/>
          <w:szCs w:val="32"/>
        </w:rPr>
        <w:t>（二）隐瞒、坐支应当上缴的保障金的；</w:t>
      </w:r>
    </w:p>
    <w:p>
      <w:pPr>
        <w:spacing w:line="360" w:lineRule="auto"/>
        <w:rPr>
          <w:rFonts w:hint="eastAsia" w:ascii="宋体" w:hAnsi="宋体" w:eastAsia="宋体" w:cs="宋体"/>
          <w:sz w:val="32"/>
          <w:szCs w:val="32"/>
        </w:rPr>
      </w:pPr>
      <w:r>
        <w:rPr>
          <w:rFonts w:hint="eastAsia" w:ascii="宋体" w:hAnsi="宋体" w:eastAsia="宋体" w:cs="宋体"/>
          <w:sz w:val="32"/>
          <w:szCs w:val="32"/>
        </w:rPr>
        <w:t>（三）滞留、截留、挪用应当上缴的保障金的；</w:t>
      </w:r>
    </w:p>
    <w:p>
      <w:pPr>
        <w:spacing w:line="360" w:lineRule="auto"/>
        <w:rPr>
          <w:rFonts w:hint="eastAsia" w:ascii="宋体" w:hAnsi="宋体" w:eastAsia="宋体" w:cs="宋体"/>
          <w:sz w:val="32"/>
          <w:szCs w:val="32"/>
        </w:rPr>
      </w:pPr>
      <w:r>
        <w:rPr>
          <w:rFonts w:hint="eastAsia" w:ascii="宋体" w:hAnsi="宋体" w:eastAsia="宋体" w:cs="宋体"/>
          <w:sz w:val="32"/>
          <w:szCs w:val="32"/>
        </w:rPr>
        <w:t>（四）不按照规定的预算级次、预算科目将保障金缴入国库的；</w:t>
      </w:r>
    </w:p>
    <w:p>
      <w:pPr>
        <w:spacing w:line="360" w:lineRule="auto"/>
        <w:rPr>
          <w:rFonts w:hint="eastAsia" w:ascii="宋体" w:hAnsi="宋体" w:eastAsia="宋体" w:cs="宋体"/>
          <w:sz w:val="32"/>
          <w:szCs w:val="32"/>
        </w:rPr>
      </w:pPr>
      <w:r>
        <w:rPr>
          <w:rFonts w:hint="eastAsia" w:ascii="宋体" w:hAnsi="宋体" w:eastAsia="宋体" w:cs="宋体"/>
          <w:sz w:val="32"/>
          <w:szCs w:val="32"/>
        </w:rPr>
        <w:t>（五）违反规定使用保障金的；</w:t>
      </w:r>
    </w:p>
    <w:p>
      <w:pPr>
        <w:spacing w:line="360" w:lineRule="auto"/>
        <w:rPr>
          <w:rFonts w:hint="eastAsia" w:ascii="宋体" w:hAnsi="宋体" w:eastAsia="宋体" w:cs="宋体"/>
          <w:sz w:val="32"/>
          <w:szCs w:val="32"/>
        </w:rPr>
      </w:pPr>
      <w:r>
        <w:rPr>
          <w:rFonts w:hint="eastAsia" w:ascii="宋体" w:hAnsi="宋体" w:eastAsia="宋体" w:cs="宋体"/>
          <w:sz w:val="32"/>
          <w:szCs w:val="32"/>
        </w:rPr>
        <w:t>（六）其他违反国家财政收入管理规定的行为。</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第二十六条</w:t>
      </w:r>
      <w:r>
        <w:rPr>
          <w:rFonts w:hint="eastAsia" w:ascii="宋体" w:hAnsi="宋体" w:eastAsia="宋体" w:cs="宋体"/>
          <w:sz w:val="32"/>
          <w:szCs w:val="32"/>
        </w:rPr>
        <w:t xml:space="preserve"> 用人单位未按规定缴纳保障金的，按照《残疾人就业条例》的规定，由保障金征收机关提交财政部门，由财政部门予以警告，责令限期缴纳；逾期仍不缴纳的，除补缴欠缴数额外，还应当自欠缴之日起，按日加收5‰的滞纳金。滞纳金按照保障金入库预算级次缴入国库。</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第二十七条</w:t>
      </w:r>
      <w:r>
        <w:rPr>
          <w:rFonts w:hint="eastAsia" w:ascii="宋体" w:hAnsi="宋体" w:eastAsia="宋体" w:cs="宋体"/>
          <w:sz w:val="32"/>
          <w:szCs w:val="32"/>
        </w:rPr>
        <w:t xml:space="preserve"> 保障金征收、使用管理有关部门的工作人员违反本办法规定，在保障金征收和使用管理工作中滥用职权、玩忽职守、徇私舞弊的，依法给予处分；涉嫌犯罪的，依法移送司法机关。</w:t>
      </w:r>
    </w:p>
    <w:p>
      <w:pPr>
        <w:spacing w:line="360" w:lineRule="auto"/>
        <w:jc w:val="center"/>
        <w:rPr>
          <w:rFonts w:hint="eastAsia" w:ascii="宋体" w:hAnsi="宋体" w:eastAsia="宋体" w:cs="宋体"/>
          <w:sz w:val="32"/>
          <w:szCs w:val="32"/>
        </w:rPr>
      </w:pPr>
      <w:r>
        <w:rPr>
          <w:rFonts w:hint="eastAsia" w:ascii="宋体" w:hAnsi="宋体" w:eastAsia="宋体" w:cs="宋体"/>
          <w:b/>
          <w:bCs/>
          <w:sz w:val="32"/>
          <w:szCs w:val="32"/>
        </w:rPr>
        <w:t>第五章 附 则</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第二十八条</w:t>
      </w:r>
      <w:r>
        <w:rPr>
          <w:rFonts w:hint="eastAsia" w:ascii="宋体" w:hAnsi="宋体" w:eastAsia="宋体" w:cs="宋体"/>
          <w:sz w:val="32"/>
          <w:szCs w:val="32"/>
        </w:rPr>
        <w:t xml:space="preserve"> 各省、自治区、直辖市财政部门会同税务部门、残疾人联合会根据本办法制定具体实施办法，并报财政部、国家税务总局、中国残疾人联合会备案。</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第二十九条</w:t>
      </w:r>
      <w:r>
        <w:rPr>
          <w:rFonts w:hint="eastAsia" w:ascii="宋体" w:hAnsi="宋体" w:eastAsia="宋体" w:cs="宋体"/>
          <w:sz w:val="32"/>
          <w:szCs w:val="32"/>
        </w:rPr>
        <w:t xml:space="preserve"> 本办法由财政部会同国家税务总局、中国残疾人联合会负责解释。</w:t>
      </w:r>
    </w:p>
    <w:p>
      <w:pPr>
        <w:spacing w:line="360" w:lineRule="auto"/>
        <w:rPr>
          <w:rFonts w:hint="eastAsia" w:ascii="宋体" w:hAnsi="宋体" w:eastAsia="宋体" w:cs="宋体"/>
          <w:sz w:val="32"/>
          <w:szCs w:val="32"/>
        </w:rPr>
      </w:pPr>
      <w:r>
        <w:rPr>
          <w:rFonts w:hint="eastAsia" w:ascii="宋体" w:hAnsi="宋体" w:eastAsia="宋体" w:cs="宋体"/>
          <w:b/>
          <w:bCs/>
          <w:sz w:val="32"/>
          <w:szCs w:val="32"/>
        </w:rPr>
        <w:t xml:space="preserve">第三十条 </w:t>
      </w:r>
      <w:r>
        <w:rPr>
          <w:rFonts w:hint="eastAsia" w:ascii="宋体" w:hAnsi="宋体" w:eastAsia="宋体" w:cs="宋体"/>
          <w:sz w:val="32"/>
          <w:szCs w:val="32"/>
        </w:rPr>
        <w:t>本办法自2015年10月1日起施行。《财政部关于发布＜残疾人就业保障金管理暂行规定＞的通知》（财综字〔1995〕5号）及其他与本办法不符的规定同时废止。</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AA4235"/>
    <w:rsid w:val="4B240E95"/>
    <w:rsid w:val="591C138C"/>
    <w:rsid w:val="70254A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2017-05-18T07:31:38Z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