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住房和城乡建设部</w:t>
      </w:r>
    </w:p>
    <w:p>
      <w:pPr>
        <w:spacing w:line="360" w:lineRule="auto"/>
        <w:jc w:val="center"/>
        <w:rPr>
          <w:rFonts w:hint="eastAsia" w:ascii="黑体" w:hAnsi="黑体" w:eastAsia="黑体" w:cs="黑体"/>
          <w:b/>
          <w:bCs/>
          <w:sz w:val="32"/>
          <w:szCs w:val="32"/>
          <w:lang w:eastAsia="zh-CN"/>
        </w:rPr>
      </w:pPr>
      <w:r>
        <w:rPr>
          <w:rFonts w:hint="eastAsia" w:ascii="黑体" w:hAnsi="黑体" w:eastAsia="黑体" w:cs="黑体"/>
          <w:b/>
          <w:bCs/>
          <w:sz w:val="32"/>
          <w:szCs w:val="32"/>
        </w:rPr>
        <w:t>关于调整住房公积金存贷款利率的通知</w:t>
      </w:r>
    </w:p>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（2012年6月8日，建金〔2012〕88号）</w:t>
      </w:r>
    </w:p>
    <w:p>
      <w:pPr>
        <w:spacing w:line="360" w:lineRule="auto"/>
        <w:rPr>
          <w:rFonts w:hint="eastAsia" w:ascii="宋体" w:hAnsi="宋体" w:eastAsia="宋体" w:cs="宋体"/>
          <w:sz w:val="32"/>
          <w:szCs w:val="32"/>
          <w:lang w:val="en-US" w:eastAsia="zh-CN"/>
        </w:rPr>
      </w:pPr>
    </w:p>
    <w:p>
      <w:pPr>
        <w:spacing w:line="360" w:lineRule="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各省、自治区住房和城乡建设厅，直辖市、新疆生产建设兵团住房公积金管理委员会、住房公积金管理中心：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根据《</w:t>
      </w:r>
      <w:r>
        <w:rPr>
          <w:rFonts w:hint="eastAsia" w:ascii="宋体" w:hAnsi="宋体" w:eastAsia="宋体" w:cs="宋体"/>
          <w:sz w:val="32"/>
          <w:szCs w:val="32"/>
          <w:lang w:val="en-US" w:eastAsia="zh-CN"/>
        </w:rPr>
        <w:fldChar w:fldCharType="begin"/>
      </w:r>
      <w:r>
        <w:rPr>
          <w:rFonts w:hint="eastAsia" w:ascii="宋体" w:hAnsi="宋体" w:eastAsia="宋体" w:cs="宋体"/>
          <w:sz w:val="32"/>
          <w:szCs w:val="32"/>
          <w:lang w:val="en-US" w:eastAsia="zh-CN"/>
        </w:rPr>
        <w:instrText xml:space="preserve"> HYPERLINK "http://www.pkulaw.cn/javascript:SLC(189370,0)" </w:instrText>
      </w:r>
      <w:r>
        <w:rPr>
          <w:rFonts w:hint="eastAsia" w:ascii="宋体" w:hAnsi="宋体" w:eastAsia="宋体" w:cs="宋体"/>
          <w:sz w:val="32"/>
          <w:szCs w:val="32"/>
          <w:lang w:val="en-US" w:eastAsia="zh-CN"/>
        </w:rPr>
        <w:fldChar w:fldCharType="separate"/>
      </w:r>
      <w:r>
        <w:rPr>
          <w:rFonts w:hint="eastAsia" w:ascii="宋体" w:hAnsi="宋体" w:eastAsia="宋体" w:cs="宋体"/>
          <w:sz w:val="32"/>
          <w:szCs w:val="32"/>
        </w:rPr>
        <w:t>中国人民银行关于下调金融机构人民币存贷款基准利率和调整存贷款利率浮动区间的通知</w:t>
      </w:r>
      <w:r>
        <w:rPr>
          <w:rFonts w:hint="eastAsia" w:ascii="宋体" w:hAnsi="宋体" w:eastAsia="宋体" w:cs="宋体"/>
          <w:sz w:val="32"/>
          <w:szCs w:val="32"/>
          <w:lang w:val="en-US" w:eastAsia="zh-CN"/>
        </w:rPr>
        <w:fldChar w:fldCharType="end"/>
      </w:r>
      <w:r>
        <w:rPr>
          <w:rFonts w:hint="eastAsia" w:ascii="宋体" w:hAnsi="宋体" w:eastAsia="宋体" w:cs="宋体"/>
          <w:sz w:val="32"/>
          <w:szCs w:val="32"/>
          <w:lang w:val="en-US" w:eastAsia="zh-CN"/>
        </w:rPr>
        <w:t>》（银发〔2012〕142号），现就住房公积金存贷款利率调整有关事项通知如下：</w:t>
      </w:r>
      <w:bookmarkStart w:id="0" w:name="1"/>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w:t>
      </w:r>
      <w:bookmarkEnd w:id="0"/>
      <w:r>
        <w:rPr>
          <w:rFonts w:hint="eastAsia" w:ascii="宋体" w:hAnsi="宋体" w:eastAsia="宋体" w:cs="宋体"/>
          <w:sz w:val="32"/>
          <w:szCs w:val="32"/>
          <w:lang w:val="en-US" w:eastAsia="zh-CN"/>
        </w:rPr>
        <w:t>从2012年6月8日起，下调个人住房公积金存款利率。当年归集的个人住房公积金存款利率下调0.10个百分点，由0.50%下调至0.40%；上年结转的个人住房公积金存款利率下调0.25个百分点，由3.10%下调至2.85%。</w:t>
      </w:r>
      <w:bookmarkStart w:id="1" w:name="2"/>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w:t>
      </w:r>
      <w:bookmarkEnd w:id="1"/>
      <w:r>
        <w:rPr>
          <w:rFonts w:hint="eastAsia" w:ascii="宋体" w:hAnsi="宋体" w:eastAsia="宋体" w:cs="宋体"/>
          <w:sz w:val="32"/>
          <w:szCs w:val="32"/>
          <w:lang w:val="en-US" w:eastAsia="zh-CN"/>
        </w:rPr>
        <w:t>从2012年6月8日起，下调个人住房公积金贷款利率。五年期以上个人住房公积金贷款利率下调0.20个百分点，由4.90%下调至4.70%；五年期以下（含五年）个人住房公积金贷款利率下调0.25个百分点，由4.45%下调至4.20%。</w:t>
      </w:r>
      <w:bookmarkStart w:id="2" w:name="3"/>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w:t>
      </w:r>
      <w:bookmarkEnd w:id="2"/>
      <w:r>
        <w:rPr>
          <w:rFonts w:hint="eastAsia" w:ascii="宋体" w:hAnsi="宋体" w:eastAsia="宋体" w:cs="宋体"/>
          <w:sz w:val="32"/>
          <w:szCs w:val="32"/>
          <w:lang w:val="en-US" w:eastAsia="zh-CN"/>
        </w:rPr>
        <w:t>从2012年6月8日起，开展利用住房公积金贷款支持保障性住房建设试点的城市，贷款利率按照五年期以上个人住房公积金贷款利率上浮10%执行。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请各省、自治区住房和城乡建设厅立即将本通知转发相关住房公积金管理委员会、住房公积金管理中心执行。对利率调整后出现的新情况、新问题要及时处理并报我部。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lang w:val="en-US" w:eastAsia="zh-CN"/>
        </w:rPr>
        <w:t>附表：住房公积金存贷款利率调整表</w:t>
      </w:r>
    </w:p>
    <w:p>
      <w:pPr>
        <w:spacing w:line="360" w:lineRule="auto"/>
        <w:jc w:val="righ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住房和城乡建设部</w:t>
      </w:r>
    </w:p>
    <w:p>
      <w:pPr>
        <w:spacing w:line="360" w:lineRule="auto"/>
        <w:jc w:val="right"/>
        <w:rPr>
          <w:rFonts w:hint="eastAsia" w:ascii="宋体" w:hAnsi="宋体" w:eastAsia="宋体" w:cs="宋体"/>
          <w:sz w:val="32"/>
          <w:szCs w:val="32"/>
        </w:rPr>
      </w:pPr>
      <w:r>
        <w:rPr>
          <w:rFonts w:hint="eastAsia" w:ascii="宋体" w:hAnsi="宋体" w:eastAsia="宋体" w:cs="宋体"/>
          <w:sz w:val="32"/>
          <w:szCs w:val="32"/>
          <w:lang w:val="en-US" w:eastAsia="zh-CN"/>
        </w:rPr>
        <w:t>二〇一二年六月八日</w:t>
      </w:r>
    </w:p>
    <w:p>
      <w:pPr>
        <w:spacing w:line="360" w:lineRule="auto"/>
        <w:jc w:val="right"/>
        <w:rPr>
          <w:rFonts w:hint="eastAsia" w:ascii="宋体" w:hAnsi="宋体" w:eastAsia="宋体" w:cs="宋体"/>
          <w:sz w:val="32"/>
          <w:szCs w:val="32"/>
          <w:lang w:val="en-US" w:eastAsia="zh-CN"/>
        </w:rPr>
      </w:pPr>
    </w:p>
    <w:p>
      <w:pPr>
        <w:spacing w:line="360" w:lineRule="auto"/>
        <w:jc w:val="right"/>
        <w:rPr>
          <w:rFonts w:hint="eastAsia" w:ascii="宋体" w:hAnsi="宋体" w:eastAsia="宋体" w:cs="宋体"/>
          <w:sz w:val="32"/>
          <w:szCs w:val="32"/>
          <w:lang w:val="en-US" w:eastAsia="zh-CN"/>
        </w:rPr>
      </w:pPr>
    </w:p>
    <w:p>
      <w:pPr>
        <w:spacing w:line="360" w:lineRule="auto"/>
        <w:jc w:val="righ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br w:type="page"/>
      </w:r>
    </w:p>
    <w:p>
      <w:pPr>
        <w:spacing w:line="360" w:lineRule="auto"/>
        <w:jc w:val="right"/>
        <w:rPr>
          <w:rFonts w:hint="eastAsia" w:ascii="宋体" w:hAnsi="宋体" w:eastAsia="宋体" w:cs="宋体"/>
          <w:sz w:val="32"/>
          <w:szCs w:val="32"/>
          <w:lang w:val="en-US" w:eastAsia="zh-CN"/>
        </w:rPr>
      </w:pPr>
      <w:bookmarkStart w:id="3" w:name="_GoBack"/>
      <w:bookmarkEnd w:id="3"/>
    </w:p>
    <w:p>
      <w:pPr>
        <w:spacing w:line="360" w:lineRule="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附表：</w:t>
      </w:r>
    </w:p>
    <w:p>
      <w:pPr>
        <w:spacing w:line="360" w:lineRule="auto"/>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住房公积金存贷款利率调整表</w:t>
      </w:r>
    </w:p>
    <w:p>
      <w:pPr>
        <w:spacing w:line="360" w:lineRule="auto"/>
        <w:rPr>
          <w:rFonts w:hint="eastAsia" w:ascii="宋体" w:hAnsi="宋体" w:eastAsia="宋体" w:cs="宋体"/>
          <w:sz w:val="32"/>
          <w:szCs w:val="32"/>
        </w:rPr>
      </w:pPr>
      <w:r>
        <w:rPr>
          <w:rFonts w:hint="eastAsia" w:ascii="宋体" w:hAnsi="宋体" w:eastAsia="宋体" w:cs="宋体"/>
          <w:sz w:val="32"/>
          <w:szCs w:val="32"/>
          <w:lang w:val="en-US" w:eastAsia="zh-CN"/>
        </w:rPr>
        <w:t>单位：年利率%</w:t>
      </w:r>
    </w:p>
    <w:tbl>
      <w:tblPr>
        <w:tblStyle w:val="5"/>
        <w:tblW w:w="8096" w:type="dxa"/>
        <w:tblCellSpacing w:w="7"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0F5FE"/>
        <w:tblLayout w:type="fixed"/>
        <w:tblCellMar>
          <w:top w:w="15" w:type="dxa"/>
          <w:left w:w="15" w:type="dxa"/>
          <w:bottom w:w="15" w:type="dxa"/>
          <w:right w:w="15" w:type="dxa"/>
        </w:tblCellMar>
      </w:tblPr>
      <w:tblGrid>
        <w:gridCol w:w="3876"/>
        <w:gridCol w:w="2219"/>
        <w:gridCol w:w="200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0F5FE"/>
          <w:tblLayout w:type="fixed"/>
          <w:tblCellMar>
            <w:top w:w="15" w:type="dxa"/>
            <w:left w:w="15" w:type="dxa"/>
            <w:bottom w:w="15" w:type="dxa"/>
            <w:right w:w="15" w:type="dxa"/>
          </w:tblCellMar>
        </w:tblPrEx>
        <w:trPr>
          <w:tblCellSpacing w:w="7" w:type="dxa"/>
        </w:trPr>
        <w:tc>
          <w:tcPr>
            <w:tcW w:w="3855" w:type="dxa"/>
            <w:shd w:val="clear" w:color="auto" w:fill="F0F5FE"/>
            <w:vAlign w:val="center"/>
          </w:tcPr>
          <w:p>
            <w:pPr>
              <w:spacing w:line="360" w:lineRule="auto"/>
              <w:rPr>
                <w:rFonts w:hint="eastAsia" w:ascii="宋体" w:hAnsi="宋体" w:eastAsia="宋体" w:cs="宋体"/>
                <w:sz w:val="32"/>
                <w:szCs w:val="32"/>
              </w:rPr>
            </w:pPr>
            <w:r>
              <w:rPr>
                <w:rFonts w:hint="eastAsia" w:ascii="宋体" w:hAnsi="宋体" w:eastAsia="宋体" w:cs="宋体"/>
                <w:sz w:val="32"/>
                <w:szCs w:val="32"/>
              </w:rPr>
              <w:t>项　目</w:t>
            </w:r>
          </w:p>
        </w:tc>
        <w:tc>
          <w:tcPr>
            <w:tcW w:w="2205" w:type="dxa"/>
            <w:shd w:val="clear" w:color="auto" w:fill="F0F5FE"/>
            <w:vAlign w:val="center"/>
          </w:tcPr>
          <w:p>
            <w:pPr>
              <w:spacing w:line="360" w:lineRule="auto"/>
              <w:rPr>
                <w:rFonts w:hint="eastAsia" w:ascii="宋体" w:hAnsi="宋体" w:eastAsia="宋体" w:cs="宋体"/>
                <w:sz w:val="32"/>
                <w:szCs w:val="32"/>
              </w:rPr>
            </w:pPr>
            <w:r>
              <w:rPr>
                <w:rFonts w:hint="eastAsia" w:ascii="宋体" w:hAnsi="宋体" w:eastAsia="宋体" w:cs="宋体"/>
                <w:sz w:val="32"/>
                <w:szCs w:val="32"/>
              </w:rPr>
              <w:t>调整前利率</w:t>
            </w:r>
          </w:p>
        </w:tc>
        <w:tc>
          <w:tcPr>
            <w:tcW w:w="1980" w:type="dxa"/>
            <w:shd w:val="clear" w:color="auto" w:fill="F0F5FE"/>
            <w:vAlign w:val="center"/>
          </w:tcPr>
          <w:p>
            <w:pPr>
              <w:spacing w:line="360" w:lineRule="auto"/>
              <w:rPr>
                <w:rFonts w:hint="eastAsia" w:ascii="宋体" w:hAnsi="宋体" w:eastAsia="宋体" w:cs="宋体"/>
                <w:sz w:val="32"/>
                <w:szCs w:val="32"/>
              </w:rPr>
            </w:pPr>
            <w:r>
              <w:rPr>
                <w:rFonts w:hint="eastAsia" w:ascii="宋体" w:hAnsi="宋体" w:eastAsia="宋体" w:cs="宋体"/>
                <w:sz w:val="32"/>
                <w:szCs w:val="32"/>
              </w:rPr>
              <w:t>调整后利率</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0F5FE"/>
          <w:tblLayout w:type="fixed"/>
        </w:tblPrEx>
        <w:trPr>
          <w:tblCellSpacing w:w="7" w:type="dxa"/>
        </w:trPr>
        <w:tc>
          <w:tcPr>
            <w:tcW w:w="3855" w:type="dxa"/>
            <w:shd w:val="clear" w:color="auto" w:fill="F0F5FE"/>
            <w:vAlign w:val="center"/>
          </w:tcPr>
          <w:p>
            <w:pPr>
              <w:spacing w:line="360" w:lineRule="auto"/>
              <w:rPr>
                <w:rFonts w:hint="eastAsia" w:ascii="宋体" w:hAnsi="宋体" w:eastAsia="宋体" w:cs="宋体"/>
                <w:sz w:val="32"/>
                <w:szCs w:val="32"/>
              </w:rPr>
            </w:pPr>
            <w:r>
              <w:rPr>
                <w:rFonts w:hint="eastAsia" w:ascii="宋体" w:hAnsi="宋体" w:eastAsia="宋体" w:cs="宋体"/>
                <w:sz w:val="32"/>
                <w:szCs w:val="32"/>
              </w:rPr>
              <w:t>一、个人住房公积金存款</w:t>
            </w:r>
          </w:p>
        </w:tc>
        <w:tc>
          <w:tcPr>
            <w:tcW w:w="2205" w:type="dxa"/>
            <w:shd w:val="clear" w:color="auto" w:fill="F0F5FE"/>
            <w:vAlign w:val="center"/>
          </w:tcPr>
          <w:p>
            <w:pPr>
              <w:spacing w:line="360" w:lineRule="auto"/>
              <w:rPr>
                <w:rFonts w:hint="eastAsia" w:ascii="宋体" w:hAnsi="宋体" w:eastAsia="宋体" w:cs="宋体"/>
                <w:sz w:val="32"/>
                <w:szCs w:val="32"/>
              </w:rPr>
            </w:pPr>
          </w:p>
        </w:tc>
        <w:tc>
          <w:tcPr>
            <w:tcW w:w="1980" w:type="dxa"/>
            <w:shd w:val="clear" w:color="auto" w:fill="F0F5FE"/>
            <w:vAlign w:val="center"/>
          </w:tcPr>
          <w:p>
            <w:pPr>
              <w:spacing w:line="360" w:lineRule="auto"/>
              <w:rPr>
                <w:rFonts w:hint="eastAsia" w:ascii="宋体" w:hAnsi="宋体" w:eastAsia="宋体" w:cs="宋体"/>
                <w:sz w:val="32"/>
                <w:szCs w:val="3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0F5FE"/>
          <w:tblLayout w:type="fixed"/>
          <w:tblCellMar>
            <w:top w:w="15" w:type="dxa"/>
            <w:left w:w="15" w:type="dxa"/>
            <w:bottom w:w="15" w:type="dxa"/>
            <w:right w:w="15" w:type="dxa"/>
          </w:tblCellMar>
        </w:tblPrEx>
        <w:trPr>
          <w:tblCellSpacing w:w="7" w:type="dxa"/>
        </w:trPr>
        <w:tc>
          <w:tcPr>
            <w:tcW w:w="3855" w:type="dxa"/>
            <w:shd w:val="clear" w:color="auto" w:fill="F0F5FE"/>
            <w:vAlign w:val="center"/>
          </w:tcPr>
          <w:p>
            <w:pPr>
              <w:spacing w:line="360" w:lineRule="auto"/>
              <w:rPr>
                <w:rFonts w:hint="eastAsia" w:ascii="宋体" w:hAnsi="宋体" w:eastAsia="宋体" w:cs="宋体"/>
                <w:sz w:val="32"/>
                <w:szCs w:val="32"/>
              </w:rPr>
            </w:pPr>
            <w:r>
              <w:rPr>
                <w:rFonts w:hint="eastAsia" w:ascii="宋体" w:hAnsi="宋体" w:eastAsia="宋体" w:cs="宋体"/>
                <w:sz w:val="32"/>
                <w:szCs w:val="32"/>
              </w:rPr>
              <w:t>当年缴存</w:t>
            </w:r>
          </w:p>
        </w:tc>
        <w:tc>
          <w:tcPr>
            <w:tcW w:w="2205" w:type="dxa"/>
            <w:shd w:val="clear" w:color="auto" w:fill="F0F5FE"/>
            <w:vAlign w:val="center"/>
          </w:tcPr>
          <w:p>
            <w:pPr>
              <w:spacing w:line="360" w:lineRule="auto"/>
              <w:rPr>
                <w:rFonts w:hint="eastAsia" w:ascii="宋体" w:hAnsi="宋体" w:eastAsia="宋体" w:cs="宋体"/>
                <w:sz w:val="32"/>
                <w:szCs w:val="32"/>
              </w:rPr>
            </w:pPr>
            <w:r>
              <w:rPr>
                <w:rFonts w:hint="eastAsia" w:ascii="宋体" w:hAnsi="宋体" w:eastAsia="宋体" w:cs="宋体"/>
                <w:sz w:val="32"/>
                <w:szCs w:val="32"/>
              </w:rPr>
              <w:t>0.50</w:t>
            </w:r>
          </w:p>
        </w:tc>
        <w:tc>
          <w:tcPr>
            <w:tcW w:w="1980" w:type="dxa"/>
            <w:shd w:val="clear" w:color="auto" w:fill="F0F5FE"/>
            <w:vAlign w:val="center"/>
          </w:tcPr>
          <w:p>
            <w:pPr>
              <w:spacing w:line="360" w:lineRule="auto"/>
              <w:rPr>
                <w:rFonts w:hint="eastAsia" w:ascii="宋体" w:hAnsi="宋体" w:eastAsia="宋体" w:cs="宋体"/>
                <w:sz w:val="32"/>
                <w:szCs w:val="32"/>
              </w:rPr>
            </w:pPr>
            <w:r>
              <w:rPr>
                <w:rFonts w:hint="eastAsia" w:ascii="宋体" w:hAnsi="宋体" w:eastAsia="宋体" w:cs="宋体"/>
                <w:sz w:val="32"/>
                <w:szCs w:val="32"/>
              </w:rPr>
              <w:t>0.40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0F5FE"/>
          <w:tblLayout w:type="fixed"/>
          <w:tblCellMar>
            <w:top w:w="15" w:type="dxa"/>
            <w:left w:w="15" w:type="dxa"/>
            <w:bottom w:w="15" w:type="dxa"/>
            <w:right w:w="15" w:type="dxa"/>
          </w:tblCellMar>
        </w:tblPrEx>
        <w:trPr>
          <w:tblCellSpacing w:w="7" w:type="dxa"/>
        </w:trPr>
        <w:tc>
          <w:tcPr>
            <w:tcW w:w="3855" w:type="dxa"/>
            <w:shd w:val="clear" w:color="auto" w:fill="F0F5FE"/>
            <w:vAlign w:val="center"/>
          </w:tcPr>
          <w:p>
            <w:pPr>
              <w:spacing w:line="360" w:lineRule="auto"/>
              <w:rPr>
                <w:rFonts w:hint="eastAsia" w:ascii="宋体" w:hAnsi="宋体" w:eastAsia="宋体" w:cs="宋体"/>
                <w:sz w:val="32"/>
                <w:szCs w:val="32"/>
              </w:rPr>
            </w:pPr>
            <w:r>
              <w:rPr>
                <w:rFonts w:hint="eastAsia" w:ascii="宋体" w:hAnsi="宋体" w:eastAsia="宋体" w:cs="宋体"/>
                <w:sz w:val="32"/>
                <w:szCs w:val="32"/>
              </w:rPr>
              <w:t>上年结转</w:t>
            </w:r>
          </w:p>
        </w:tc>
        <w:tc>
          <w:tcPr>
            <w:tcW w:w="2205" w:type="dxa"/>
            <w:shd w:val="clear" w:color="auto" w:fill="F0F5FE"/>
            <w:vAlign w:val="center"/>
          </w:tcPr>
          <w:p>
            <w:pPr>
              <w:spacing w:line="360" w:lineRule="auto"/>
              <w:rPr>
                <w:rFonts w:hint="eastAsia" w:ascii="宋体" w:hAnsi="宋体" w:eastAsia="宋体" w:cs="宋体"/>
                <w:sz w:val="32"/>
                <w:szCs w:val="32"/>
              </w:rPr>
            </w:pPr>
            <w:r>
              <w:rPr>
                <w:rFonts w:hint="eastAsia" w:ascii="宋体" w:hAnsi="宋体" w:eastAsia="宋体" w:cs="宋体"/>
                <w:sz w:val="32"/>
                <w:szCs w:val="32"/>
              </w:rPr>
              <w:t>3.10</w:t>
            </w:r>
          </w:p>
        </w:tc>
        <w:tc>
          <w:tcPr>
            <w:tcW w:w="1980" w:type="dxa"/>
            <w:shd w:val="clear" w:color="auto" w:fill="F0F5FE"/>
            <w:vAlign w:val="center"/>
          </w:tcPr>
          <w:p>
            <w:pPr>
              <w:spacing w:line="360" w:lineRule="auto"/>
              <w:rPr>
                <w:rFonts w:hint="eastAsia" w:ascii="宋体" w:hAnsi="宋体" w:eastAsia="宋体" w:cs="宋体"/>
                <w:sz w:val="32"/>
                <w:szCs w:val="32"/>
              </w:rPr>
            </w:pPr>
            <w:r>
              <w:rPr>
                <w:rFonts w:hint="eastAsia" w:ascii="宋体" w:hAnsi="宋体" w:eastAsia="宋体" w:cs="宋体"/>
                <w:sz w:val="32"/>
                <w:szCs w:val="32"/>
              </w:rPr>
              <w:t>2.85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0F5FE"/>
          <w:tblLayout w:type="fixed"/>
          <w:tblCellMar>
            <w:top w:w="15" w:type="dxa"/>
            <w:left w:w="15" w:type="dxa"/>
            <w:bottom w:w="15" w:type="dxa"/>
            <w:right w:w="15" w:type="dxa"/>
          </w:tblCellMar>
        </w:tblPrEx>
        <w:trPr>
          <w:tblCellSpacing w:w="7" w:type="dxa"/>
        </w:trPr>
        <w:tc>
          <w:tcPr>
            <w:tcW w:w="3855" w:type="dxa"/>
            <w:shd w:val="clear" w:color="auto" w:fill="F0F5FE"/>
            <w:vAlign w:val="center"/>
          </w:tcPr>
          <w:p>
            <w:pPr>
              <w:spacing w:line="360" w:lineRule="auto"/>
              <w:rPr>
                <w:rFonts w:hint="eastAsia" w:ascii="宋体" w:hAnsi="宋体" w:eastAsia="宋体" w:cs="宋体"/>
                <w:sz w:val="32"/>
                <w:szCs w:val="32"/>
              </w:rPr>
            </w:pPr>
            <w:r>
              <w:rPr>
                <w:rFonts w:hint="eastAsia" w:ascii="宋体" w:hAnsi="宋体" w:eastAsia="宋体" w:cs="宋体"/>
                <w:sz w:val="32"/>
                <w:szCs w:val="32"/>
              </w:rPr>
              <w:t>二、个人住房公积金贷款</w:t>
            </w:r>
          </w:p>
        </w:tc>
        <w:tc>
          <w:tcPr>
            <w:tcW w:w="2205" w:type="dxa"/>
            <w:shd w:val="clear" w:color="auto" w:fill="F0F5FE"/>
            <w:vAlign w:val="center"/>
          </w:tcPr>
          <w:p>
            <w:pPr>
              <w:spacing w:line="360" w:lineRule="auto"/>
              <w:rPr>
                <w:rFonts w:hint="eastAsia" w:ascii="宋体" w:hAnsi="宋体" w:eastAsia="宋体" w:cs="宋体"/>
                <w:sz w:val="32"/>
                <w:szCs w:val="32"/>
              </w:rPr>
            </w:pPr>
          </w:p>
        </w:tc>
        <w:tc>
          <w:tcPr>
            <w:tcW w:w="1980" w:type="dxa"/>
            <w:shd w:val="clear" w:color="auto" w:fill="F0F5FE"/>
            <w:vAlign w:val="center"/>
          </w:tcPr>
          <w:p>
            <w:pPr>
              <w:spacing w:line="360" w:lineRule="auto"/>
              <w:rPr>
                <w:rFonts w:hint="eastAsia" w:ascii="宋体" w:hAnsi="宋体" w:eastAsia="宋体" w:cs="宋体"/>
                <w:sz w:val="32"/>
                <w:szCs w:val="3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0F5FE"/>
          <w:tblLayout w:type="fixed"/>
          <w:tblCellMar>
            <w:top w:w="15" w:type="dxa"/>
            <w:left w:w="15" w:type="dxa"/>
            <w:bottom w:w="15" w:type="dxa"/>
            <w:right w:w="15" w:type="dxa"/>
          </w:tblCellMar>
        </w:tblPrEx>
        <w:trPr>
          <w:tblCellSpacing w:w="7" w:type="dxa"/>
        </w:trPr>
        <w:tc>
          <w:tcPr>
            <w:tcW w:w="3855" w:type="dxa"/>
            <w:shd w:val="clear" w:color="auto" w:fill="F0F5FE"/>
            <w:vAlign w:val="center"/>
          </w:tcPr>
          <w:p>
            <w:pPr>
              <w:spacing w:line="360" w:lineRule="auto"/>
              <w:rPr>
                <w:rFonts w:hint="eastAsia" w:ascii="宋体" w:hAnsi="宋体" w:eastAsia="宋体" w:cs="宋体"/>
                <w:sz w:val="32"/>
                <w:szCs w:val="32"/>
              </w:rPr>
            </w:pPr>
            <w:r>
              <w:rPr>
                <w:rFonts w:hint="eastAsia" w:ascii="宋体" w:hAnsi="宋体" w:eastAsia="宋体" w:cs="宋体"/>
                <w:sz w:val="32"/>
                <w:szCs w:val="32"/>
              </w:rPr>
              <w:t>五年以下（含五年）</w:t>
            </w:r>
          </w:p>
        </w:tc>
        <w:tc>
          <w:tcPr>
            <w:tcW w:w="2205" w:type="dxa"/>
            <w:shd w:val="clear" w:color="auto" w:fill="F0F5FE"/>
            <w:vAlign w:val="center"/>
          </w:tcPr>
          <w:p>
            <w:pPr>
              <w:spacing w:line="360" w:lineRule="auto"/>
              <w:rPr>
                <w:rFonts w:hint="eastAsia" w:ascii="宋体" w:hAnsi="宋体" w:eastAsia="宋体" w:cs="宋体"/>
                <w:sz w:val="32"/>
                <w:szCs w:val="32"/>
              </w:rPr>
            </w:pPr>
            <w:r>
              <w:rPr>
                <w:rFonts w:hint="eastAsia" w:ascii="宋体" w:hAnsi="宋体" w:eastAsia="宋体" w:cs="宋体"/>
                <w:sz w:val="32"/>
                <w:szCs w:val="32"/>
              </w:rPr>
              <w:t>4.45</w:t>
            </w:r>
          </w:p>
        </w:tc>
        <w:tc>
          <w:tcPr>
            <w:tcW w:w="1980" w:type="dxa"/>
            <w:shd w:val="clear" w:color="auto" w:fill="F0F5FE"/>
            <w:vAlign w:val="center"/>
          </w:tcPr>
          <w:p>
            <w:pPr>
              <w:spacing w:line="360" w:lineRule="auto"/>
              <w:rPr>
                <w:rFonts w:hint="eastAsia" w:ascii="宋体" w:hAnsi="宋体" w:eastAsia="宋体" w:cs="宋体"/>
                <w:sz w:val="32"/>
                <w:szCs w:val="32"/>
              </w:rPr>
            </w:pPr>
            <w:r>
              <w:rPr>
                <w:rFonts w:hint="eastAsia" w:ascii="宋体" w:hAnsi="宋体" w:eastAsia="宋体" w:cs="宋体"/>
                <w:sz w:val="32"/>
                <w:szCs w:val="32"/>
              </w:rPr>
              <w:t>4.20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0F5FE"/>
          <w:tblLayout w:type="fixed"/>
          <w:tblCellMar>
            <w:top w:w="15" w:type="dxa"/>
            <w:left w:w="15" w:type="dxa"/>
            <w:bottom w:w="15" w:type="dxa"/>
            <w:right w:w="15" w:type="dxa"/>
          </w:tblCellMar>
        </w:tblPrEx>
        <w:trPr>
          <w:tblCellSpacing w:w="7" w:type="dxa"/>
        </w:trPr>
        <w:tc>
          <w:tcPr>
            <w:tcW w:w="3855" w:type="dxa"/>
            <w:shd w:val="clear" w:color="auto" w:fill="F0F5FE"/>
            <w:vAlign w:val="center"/>
          </w:tcPr>
          <w:p>
            <w:pPr>
              <w:spacing w:line="360" w:lineRule="auto"/>
              <w:rPr>
                <w:rFonts w:hint="eastAsia" w:ascii="宋体" w:hAnsi="宋体" w:eastAsia="宋体" w:cs="宋体"/>
                <w:sz w:val="32"/>
                <w:szCs w:val="32"/>
              </w:rPr>
            </w:pPr>
            <w:r>
              <w:rPr>
                <w:rFonts w:hint="eastAsia" w:ascii="宋体" w:hAnsi="宋体" w:eastAsia="宋体" w:cs="宋体"/>
                <w:sz w:val="32"/>
                <w:szCs w:val="32"/>
              </w:rPr>
              <w:t>五年以上</w:t>
            </w:r>
          </w:p>
        </w:tc>
        <w:tc>
          <w:tcPr>
            <w:tcW w:w="2205" w:type="dxa"/>
            <w:shd w:val="clear" w:color="auto" w:fill="F0F5FE"/>
            <w:vAlign w:val="center"/>
          </w:tcPr>
          <w:p>
            <w:pPr>
              <w:spacing w:line="360" w:lineRule="auto"/>
              <w:rPr>
                <w:rFonts w:hint="eastAsia" w:ascii="宋体" w:hAnsi="宋体" w:eastAsia="宋体" w:cs="宋体"/>
                <w:sz w:val="32"/>
                <w:szCs w:val="32"/>
              </w:rPr>
            </w:pPr>
            <w:r>
              <w:rPr>
                <w:rFonts w:hint="eastAsia" w:ascii="宋体" w:hAnsi="宋体" w:eastAsia="宋体" w:cs="宋体"/>
                <w:sz w:val="32"/>
                <w:szCs w:val="32"/>
              </w:rPr>
              <w:t>4.90</w:t>
            </w:r>
          </w:p>
        </w:tc>
        <w:tc>
          <w:tcPr>
            <w:tcW w:w="1980" w:type="dxa"/>
            <w:shd w:val="clear" w:color="auto" w:fill="F0F5FE"/>
            <w:vAlign w:val="center"/>
          </w:tcPr>
          <w:p>
            <w:pPr>
              <w:spacing w:line="360" w:lineRule="auto"/>
              <w:rPr>
                <w:rFonts w:hint="eastAsia" w:ascii="宋体" w:hAnsi="宋体" w:eastAsia="宋体" w:cs="宋体"/>
                <w:sz w:val="32"/>
                <w:szCs w:val="32"/>
              </w:rPr>
            </w:pPr>
            <w:r>
              <w:rPr>
                <w:rFonts w:hint="eastAsia" w:ascii="宋体" w:hAnsi="宋体" w:eastAsia="宋体" w:cs="宋体"/>
                <w:sz w:val="32"/>
                <w:szCs w:val="32"/>
              </w:rPr>
              <w:t>4.70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0F5FE"/>
          <w:tblLayout w:type="fixed"/>
          <w:tblCellMar>
            <w:top w:w="15" w:type="dxa"/>
            <w:left w:w="15" w:type="dxa"/>
            <w:bottom w:w="15" w:type="dxa"/>
            <w:right w:w="15" w:type="dxa"/>
          </w:tblCellMar>
        </w:tblPrEx>
        <w:trPr>
          <w:tblCellSpacing w:w="7" w:type="dxa"/>
        </w:trPr>
        <w:tc>
          <w:tcPr>
            <w:tcW w:w="3855" w:type="dxa"/>
            <w:shd w:val="clear" w:color="auto" w:fill="F0F5FE"/>
            <w:vAlign w:val="center"/>
          </w:tcPr>
          <w:p>
            <w:pPr>
              <w:spacing w:line="360" w:lineRule="auto"/>
              <w:rPr>
                <w:rFonts w:hint="eastAsia" w:ascii="宋体" w:hAnsi="宋体" w:eastAsia="宋体" w:cs="宋体"/>
                <w:sz w:val="32"/>
                <w:szCs w:val="32"/>
              </w:rPr>
            </w:pPr>
            <w:r>
              <w:rPr>
                <w:rFonts w:hint="eastAsia" w:ascii="宋体" w:hAnsi="宋体" w:eastAsia="宋体" w:cs="宋体"/>
                <w:sz w:val="32"/>
                <w:szCs w:val="32"/>
              </w:rPr>
              <w:t>三、试点项目贷款</w:t>
            </w:r>
          </w:p>
        </w:tc>
        <w:tc>
          <w:tcPr>
            <w:tcW w:w="2205" w:type="dxa"/>
            <w:shd w:val="clear" w:color="auto" w:fill="F0F5FE"/>
            <w:vAlign w:val="center"/>
          </w:tcPr>
          <w:p>
            <w:pPr>
              <w:spacing w:line="360" w:lineRule="auto"/>
              <w:rPr>
                <w:rFonts w:hint="eastAsia" w:ascii="宋体" w:hAnsi="宋体" w:eastAsia="宋体" w:cs="宋体"/>
                <w:sz w:val="32"/>
                <w:szCs w:val="32"/>
              </w:rPr>
            </w:pPr>
            <w:r>
              <w:rPr>
                <w:rFonts w:hint="eastAsia" w:ascii="宋体" w:hAnsi="宋体" w:eastAsia="宋体" w:cs="宋体"/>
                <w:sz w:val="32"/>
                <w:szCs w:val="32"/>
              </w:rPr>
              <w:t>按五年以上个人住房公积金贷款利率上浮10%</w:t>
            </w:r>
          </w:p>
        </w:tc>
        <w:tc>
          <w:tcPr>
            <w:tcW w:w="1980" w:type="dxa"/>
            <w:shd w:val="clear" w:color="auto" w:fill="F0F5FE"/>
            <w:vAlign w:val="center"/>
          </w:tcPr>
          <w:p>
            <w:pPr>
              <w:spacing w:line="360" w:lineRule="auto"/>
              <w:rPr>
                <w:rFonts w:hint="eastAsia" w:ascii="宋体" w:hAnsi="宋体" w:eastAsia="宋体" w:cs="宋体"/>
                <w:sz w:val="32"/>
                <w:szCs w:val="32"/>
              </w:rPr>
            </w:pPr>
            <w:r>
              <w:rPr>
                <w:rFonts w:hint="eastAsia" w:ascii="宋体" w:hAnsi="宋体" w:eastAsia="宋体" w:cs="宋体"/>
                <w:sz w:val="32"/>
                <w:szCs w:val="32"/>
              </w:rPr>
              <w:t>同前</w:t>
            </w:r>
          </w:p>
        </w:tc>
      </w:tr>
    </w:tbl>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D55AC4"/>
    <w:rsid w:val="720E60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羊城人力</cp:lastModifiedBy>
  <dcterms:modified xsi:type="dcterms:W3CDTF">2017-05-18T03:16:05Z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