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eastAsia" w:ascii="黑体" w:hAnsi="黑体" w:eastAsia="黑体" w:cs="黑体"/>
          <w:b/>
          <w:bCs/>
          <w:sz w:val="32"/>
          <w:szCs w:val="32"/>
        </w:rPr>
      </w:pPr>
      <w:r>
        <w:rPr>
          <w:rFonts w:hint="eastAsia" w:ascii="黑体" w:hAnsi="黑体" w:eastAsia="黑体" w:cs="黑体"/>
          <w:b/>
          <w:bCs/>
          <w:sz w:val="32"/>
          <w:szCs w:val="32"/>
        </w:rPr>
        <w:t>最高人民法院</w:t>
      </w:r>
    </w:p>
    <w:p>
      <w:pPr>
        <w:spacing w:line="360" w:lineRule="auto"/>
        <w:jc w:val="center"/>
        <w:rPr>
          <w:rFonts w:hint="eastAsia" w:ascii="黑体" w:hAnsi="黑体" w:eastAsia="黑体" w:cs="黑体"/>
          <w:b/>
          <w:bCs/>
          <w:sz w:val="32"/>
          <w:szCs w:val="32"/>
        </w:rPr>
      </w:pPr>
      <w:r>
        <w:rPr>
          <w:rFonts w:hint="eastAsia" w:ascii="黑体" w:hAnsi="黑体" w:eastAsia="黑体" w:cs="黑体"/>
          <w:b/>
          <w:bCs/>
          <w:sz w:val="32"/>
          <w:szCs w:val="32"/>
        </w:rPr>
        <w:t>关于因第三人造成工伤的职工或其亲属在获得民事赔偿后是否还可以获得工伤保险补偿问题的答复</w:t>
      </w:r>
    </w:p>
    <w:p>
      <w:pPr>
        <w:spacing w:line="360" w:lineRule="auto"/>
        <w:jc w:val="center"/>
        <w:rPr>
          <w:rFonts w:hint="eastAsia" w:ascii="黑体" w:hAnsi="黑体" w:eastAsia="黑体" w:cs="黑体"/>
          <w:b/>
          <w:bCs/>
          <w:sz w:val="32"/>
          <w:szCs w:val="32"/>
        </w:rPr>
      </w:pPr>
      <w:r>
        <w:rPr>
          <w:rFonts w:hint="eastAsia" w:ascii="黑体" w:hAnsi="黑体" w:eastAsia="黑体" w:cs="黑体"/>
          <w:b/>
          <w:bCs/>
          <w:sz w:val="32"/>
          <w:szCs w:val="32"/>
        </w:rPr>
        <w:t>（</w:t>
      </w:r>
      <w:r>
        <w:rPr>
          <w:rFonts w:hint="eastAsia" w:ascii="黑体" w:hAnsi="黑体" w:eastAsia="黑体" w:cs="黑体"/>
          <w:b/>
          <w:bCs/>
          <w:sz w:val="32"/>
          <w:szCs w:val="32"/>
          <w:lang w:val="en-US" w:eastAsia="zh-CN"/>
        </w:rPr>
        <w:t>2006年12月28日，</w:t>
      </w:r>
      <w:r>
        <w:rPr>
          <w:rFonts w:hint="eastAsia" w:ascii="黑体" w:hAnsi="黑体" w:eastAsia="黑体" w:cs="黑体"/>
          <w:b/>
          <w:bCs/>
          <w:sz w:val="32"/>
          <w:szCs w:val="32"/>
        </w:rPr>
        <w:t>[2006]行他字第12号）</w:t>
      </w:r>
    </w:p>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32"/>
          <w:szCs w:val="32"/>
        </w:rPr>
      </w:pPr>
      <w:r>
        <w:rPr>
          <w:rFonts w:hint="eastAsia" w:ascii="宋体" w:hAnsi="宋体" w:eastAsia="宋体" w:cs="宋体"/>
          <w:sz w:val="32"/>
          <w:szCs w:val="32"/>
        </w:rPr>
        <w:t>新疆维吾尔族自治区高级人民法院生产建设兵团分院：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你院《关于因第三人造成工伤死亡的亲属在获得高于工伤保险待遇的民事赔偿后是否还可以获得工伤保险补偿问题的请示报告》收悉。经研究，答复如下：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原则同意你院审判委员会的倾向性意见。即根据《中华人民共和国安全生产法》第四十八条以及最高人民法院《关于审理人身损害赔偿案件适用法律若干问题的解释》第十二条的规定，因第三人造成工伤的职工或其近亲属，从第三人处获得民事赔偿后，可以按照《工伤保险条例》第三十七条的规定，向工伤保险机构申请工伤保险待遇补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此复</w:t>
      </w:r>
    </w:p>
    <w:p>
      <w:pPr>
        <w:spacing w:line="360" w:lineRule="auto"/>
        <w:rPr>
          <w:rFonts w:hint="eastAsia" w:ascii="宋体" w:hAnsi="宋体" w:eastAsia="宋体" w:cs="宋体"/>
          <w:sz w:val="32"/>
          <w:szCs w:val="32"/>
        </w:rPr>
      </w:pPr>
    </w:p>
    <w:p>
      <w:pPr>
        <w:spacing w:line="360" w:lineRule="auto"/>
        <w:jc w:val="right"/>
        <w:rPr>
          <w:rFonts w:hint="eastAsia" w:ascii="宋体" w:hAnsi="宋体" w:eastAsia="宋体" w:cs="宋体"/>
          <w:sz w:val="32"/>
          <w:szCs w:val="32"/>
        </w:rPr>
      </w:pPr>
      <w:r>
        <w:rPr>
          <w:rFonts w:hint="eastAsia" w:ascii="宋体" w:hAnsi="宋体" w:eastAsia="宋体" w:cs="宋体"/>
          <w:sz w:val="32"/>
          <w:szCs w:val="32"/>
        </w:rPr>
        <w:t>二00六年十二月二十八日</w:t>
      </w:r>
    </w:p>
    <w:p>
      <w:pPr>
        <w:spacing w:line="360" w:lineRule="auto"/>
        <w:rPr>
          <w:rFonts w:hint="eastAsia" w:ascii="宋体" w:hAnsi="宋体" w:eastAsia="宋体" w:cs="宋体"/>
          <w:sz w:val="32"/>
          <w:szCs w:val="32"/>
        </w:rPr>
      </w:pPr>
    </w:p>
    <w:p>
      <w:pPr>
        <w:spacing w:line="360" w:lineRule="auto"/>
        <w:rPr>
          <w:rFonts w:hint="eastAsia" w:ascii="宋体" w:hAnsi="宋体" w:eastAsia="宋体" w:cs="宋体"/>
          <w:b/>
          <w:bCs/>
          <w:sz w:val="32"/>
          <w:szCs w:val="32"/>
        </w:rPr>
      </w:pPr>
      <w:r>
        <w:rPr>
          <w:rFonts w:hint="eastAsia" w:ascii="宋体" w:hAnsi="宋体" w:eastAsia="宋体" w:cs="宋体"/>
          <w:b/>
          <w:bCs/>
          <w:sz w:val="32"/>
          <w:szCs w:val="32"/>
        </w:rPr>
        <w:t>附：新疆维吾尔自治区高级人民法院生产建设兵团分院关于因第三人造成工伤死亡的亲属在获得高于工伤保险待遇的民事赔偿后是否还可以获得工伤保险补偿问题的请示</w:t>
      </w:r>
    </w:p>
    <w:p>
      <w:pPr>
        <w:spacing w:line="360" w:lineRule="auto"/>
        <w:rPr>
          <w:rFonts w:hint="eastAsia" w:ascii="宋体" w:hAnsi="宋体" w:eastAsia="宋体" w:cs="宋体"/>
          <w:sz w:val="32"/>
          <w:szCs w:val="32"/>
        </w:rPr>
      </w:pPr>
    </w:p>
    <w:p>
      <w:pPr>
        <w:spacing w:line="360" w:lineRule="auto"/>
        <w:jc w:val="center"/>
        <w:rPr>
          <w:rFonts w:hint="eastAsia" w:ascii="黑体" w:hAnsi="黑体" w:eastAsia="黑体" w:cs="黑体"/>
          <w:b/>
          <w:bCs/>
          <w:sz w:val="32"/>
          <w:szCs w:val="32"/>
        </w:rPr>
      </w:pPr>
      <w:r>
        <w:rPr>
          <w:rFonts w:hint="eastAsia" w:ascii="黑体" w:hAnsi="黑体" w:eastAsia="黑体" w:cs="黑体"/>
          <w:b/>
          <w:bCs/>
          <w:sz w:val="32"/>
          <w:szCs w:val="32"/>
        </w:rPr>
        <w:t>新疆维吾尔自治区高级人民法院生产建设兵团分院</w:t>
      </w:r>
    </w:p>
    <w:p>
      <w:pPr>
        <w:spacing w:line="360" w:lineRule="auto"/>
        <w:jc w:val="center"/>
        <w:rPr>
          <w:rFonts w:hint="eastAsia" w:ascii="黑体" w:hAnsi="黑体" w:eastAsia="黑体" w:cs="黑体"/>
          <w:b/>
          <w:bCs/>
          <w:sz w:val="32"/>
          <w:szCs w:val="32"/>
        </w:rPr>
      </w:pPr>
      <w:r>
        <w:rPr>
          <w:rFonts w:hint="eastAsia" w:ascii="黑体" w:hAnsi="黑体" w:eastAsia="黑体" w:cs="黑体"/>
          <w:b/>
          <w:bCs/>
          <w:sz w:val="32"/>
          <w:szCs w:val="32"/>
        </w:rPr>
        <w:t>关于因第三人造成工伤死亡的亲属在获得高于工伤保险待遇的民事赔偿后是否还可以获得工伤保险补偿问题的请示</w:t>
      </w:r>
    </w:p>
    <w:p>
      <w:pPr>
        <w:spacing w:line="360" w:lineRule="auto"/>
        <w:jc w:val="center"/>
        <w:rPr>
          <w:rFonts w:hint="eastAsia" w:ascii="黑体" w:hAnsi="黑体" w:eastAsia="黑体" w:cs="黑体"/>
          <w:b/>
          <w:bCs/>
          <w:sz w:val="32"/>
          <w:szCs w:val="32"/>
        </w:rPr>
      </w:pPr>
      <w:r>
        <w:rPr>
          <w:rFonts w:hint="eastAsia" w:ascii="黑体" w:hAnsi="黑体" w:eastAsia="黑体" w:cs="黑体"/>
          <w:b/>
          <w:bCs/>
          <w:sz w:val="32"/>
          <w:szCs w:val="32"/>
        </w:rPr>
        <w:t>（2006年8月16日　（2006）新高兵法行示字第1号）</w:t>
      </w:r>
    </w:p>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32"/>
          <w:szCs w:val="32"/>
        </w:rPr>
      </w:pPr>
      <w:r>
        <w:rPr>
          <w:rFonts w:hint="eastAsia" w:ascii="宋体" w:hAnsi="宋体" w:eastAsia="宋体" w:cs="宋体"/>
          <w:sz w:val="32"/>
          <w:szCs w:val="32"/>
        </w:rPr>
        <w:t>最高人民法院：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我院审理秦永东不服新疆生产建设兵团建工师社会保障基金管理中心职工工伤保险待遇行政决定上诉一案，涉及因第三人造成工伤死亡的亲属在获得高于工伤保险待遇的民事赔偿后，是否还可以获得工伤保险补偿的问题，因审理中意见不一，特向贵院请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b/>
          <w:bCs/>
          <w:sz w:val="32"/>
          <w:szCs w:val="32"/>
        </w:rPr>
        <w:t>一、当事人的基本情况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上诉人（原审被告）兵刚建工师社会保险基金管理中心。（以下简称管理中心）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被上诉人（原审原告）：秦永东，男，汉族，35岁，新疆福达贸易有限公司职员，住乌鲁木齐市建设西街90号1号楼4单元401室。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二、案件的基本情况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2004年12月31日，秦永东的妻子张秋丽（生前系新疆兵团建工师昆仑工程建设总公司宏正造价事务所工程师）出差到沙湾县地税局做完工程决算审核后，乘坐该局的车返回乌鲁木齐市的途中，因该局驾驶员驾车发生交通事故，造成张秋丽死亡。经交通事故管理部门认定，驾驶员应承担交通事故的全部责任。车主单位沙湾县地税局给秦永东赔偿一次性死亡补助金150，068.8元、丧葬补助金7242元、被抚养人生活费43，305元、精神损害赔偿金20，000元，合计220，615.8元。张秋丽所在单位向管理中心报送了《工伤认定审请表》，2005年4月1日，管理中心作出张秋丽系因工死亡的工伤认定。同年5月20日，管理中心以事故方己赔付的费用均高于《工伤保险条例》（以下简称《条例》）规定的工伤待遇标准（一次性死亡补助金52，800元、丧葬补助金6600元、被抚养人生活费29，040元，合计88，400元）为由，作出不予支付工伤保险待遇的决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三、一审判决的理由及结果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一审法院认为：根据最高人民法院颁布的《关于审理人身赔偿案件适用法律若干问题的解释》（以下简称《解释》）第12条规定：“依法应当参加工伤保险的用人单位和个人，因工伤事故遭受人身损害，劳动者或者其近亲属向人民法院起诉请求用人单位承担民事赔偿责任的，告知其按《工伤保险条例》的规定处理。因用人单位以外的第三人侵权造成劳动者人身损害，赔偿权利人请求第三人承担民事赔偿责任的，人民法院应予支持。”最高人民法院副院长黄松有就《解释》答记者问时阐述：“如果劳动者受工伤是第三人的侵权行为造成，第三人不能免除民事赔偿责任。例如职工因公出差遭遇交通事故，工伤职工虽然享有工伤保险待遇，但对交通肇事者负有责任的第三人仍应承担民事赔偿责任。”以及兵团分院于2005年4月29日颁布的新高兵法发〔2005〕4号《关于审理人身损害赔偿案件若干问题的指导意见》（以下简称《指导意见》）第1条规定：“因第三人侵权赔偿与工伤赔偿保险机制目前在法律上是并行不悖的，一个属于私权范畴，一个属于公权范畴，二者不能混用，也不能相互替代”的精神可以认定因第三人侵权造成的工伤，劳动者或者其近亲属除了可以获得民事赔偿外，还可以获得工伤保险补偿。故判决撤销管理中心的不予赔偿的决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四、请示的问题及意见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对于工亡亲属在获得高于工伤保险待遇的民事赔偿后，是否还可以获得工伤保险补偿的问题，由于现行的法律、法规、司法解释没有明确规定，我院审判委员会讨论中形成两种意见：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第一种意见：《解释》第12条的规定对于本案所涉及的情况并没有明确规定，《条例》对交通事故引起的工伤如何赔付也没有涉及。而劳动部1996年8月12日公布的《企业职工工伤保险试行办法》（以下简称《试行办法》）中对由于交通事故引起的工伤补偿有具体规定，即交通事故引起的工伤待遇补偿问题，应当首先按照交通法规处理，交通事故已赔付丧葬费、一次性工亡补助金，亲属抚养费的，工伤保险经办机构不再支付相应待遇。《条例》出台后，对《试行办法》的规定没有明令废止。因此，劳动部的旧规定与新法规不相抵触，应继续执行。管理中心依据的新疆维吾尔自治区新劳社字〔2004〕67号《关于工伤保险几个有关问题的处理意见》、新疆生产建设兵团兵劳社发〔2004〕75号《关于工伤保险有关问题的处理意见》是自治区、兵团劳动和社会保险局按照《试行办法》第28条的规定作出的，管理中心依照上述规章及规范性文件作出工亡亲属在获得赔付金额高于工伤保险待遇的民事赔偿后，不再支付相应待遇的决定正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第二种意见：《试行办法》第28条规定随着2004年1月1日《条例》的实施，已经废止。按照《解释》第12条规定的精神，受害人从事故方（第三人）获得民事赔偿后，还可以按照《条例》第37条规定，向工伤保险机构申请工伤保险待遇补偿。黄松有副院长2003年12月9日就《解释》答记者问时有明确表述。我院的《指导意见》与《解释》是一致的，体现了保护受害人利益的立法精神。</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我院审判委员会倾向于第二种观点，但认为由于本案涉及地方规范性文件的效力问题，并考虑到今后判决的有效执行，确需进一步明确。</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请批复。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Calibri Light">
    <w:altName w:val="Calibri"/>
    <w:panose1 w:val="020F0302020204030204"/>
    <w:charset w:val="00"/>
    <w:family w:val="auto"/>
    <w:pitch w:val="default"/>
    <w:sig w:usb0="00000000" w:usb1="00000000"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行楷">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5F3369"/>
    <w:rsid w:val="4B0D38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羊城人力</cp:lastModifiedBy>
  <dcterms:modified xsi:type="dcterms:W3CDTF">2017-05-16T08:42:48Z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