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themeFill="background1"/>
        <w:spacing w:line="360" w:lineRule="auto"/>
        <w:jc w:val="center"/>
        <w:rPr>
          <w:rFonts w:hint="eastAsia" w:ascii="黑体" w:hAnsi="黑体" w:eastAsia="黑体" w:cs="黑体"/>
          <w:b/>
          <w:bCs/>
          <w:i w:val="0"/>
          <w:caps w:val="0"/>
          <w:color w:val="auto"/>
          <w:spacing w:val="0"/>
          <w:kern w:val="0"/>
          <w:sz w:val="32"/>
          <w:szCs w:val="32"/>
          <w:shd w:val="clear" w:color="auto" w:fill="auto"/>
          <w:lang w:val="en-US" w:eastAsia="zh-CN" w:bidi="ar"/>
        </w:rPr>
      </w:pPr>
      <w:r>
        <w:rPr>
          <w:rFonts w:hint="eastAsia" w:ascii="黑体" w:hAnsi="黑体" w:eastAsia="黑体" w:cs="黑体"/>
          <w:b/>
          <w:bCs/>
          <w:i w:val="0"/>
          <w:caps w:val="0"/>
          <w:color w:val="auto"/>
          <w:spacing w:val="0"/>
          <w:kern w:val="0"/>
          <w:sz w:val="32"/>
          <w:szCs w:val="32"/>
          <w:shd w:val="clear" w:color="auto" w:fill="auto"/>
          <w:lang w:val="en-US" w:eastAsia="zh-CN" w:bidi="ar"/>
        </w:rPr>
        <w:t>人力资源社会保障部、财政部</w:t>
      </w:r>
    </w:p>
    <w:p>
      <w:pPr>
        <w:keepNext w:val="0"/>
        <w:keepLines w:val="0"/>
        <w:widowControl/>
        <w:suppressLineNumbers w:val="0"/>
        <w:shd w:val="clear" w:fill="FFFFFF" w:themeFill="background1"/>
        <w:spacing w:line="360" w:lineRule="auto"/>
        <w:jc w:val="center"/>
        <w:rPr>
          <w:rFonts w:hint="eastAsia" w:ascii="黑体" w:hAnsi="黑体" w:eastAsia="黑体" w:cs="黑体"/>
          <w:b/>
          <w:bCs/>
          <w:i w:val="0"/>
          <w:caps w:val="0"/>
          <w:color w:val="auto"/>
          <w:spacing w:val="0"/>
          <w:kern w:val="0"/>
          <w:sz w:val="32"/>
          <w:szCs w:val="32"/>
          <w:shd w:val="clear" w:color="auto" w:fill="auto"/>
          <w:lang w:val="en-US" w:eastAsia="zh-CN" w:bidi="ar"/>
        </w:rPr>
      </w:pPr>
      <w:r>
        <w:rPr>
          <w:rFonts w:hint="eastAsia" w:ascii="黑体" w:hAnsi="黑体" w:eastAsia="黑体" w:cs="黑体"/>
          <w:b/>
          <w:bCs/>
          <w:i w:val="0"/>
          <w:caps w:val="0"/>
          <w:color w:val="auto"/>
          <w:spacing w:val="0"/>
          <w:kern w:val="0"/>
          <w:sz w:val="32"/>
          <w:szCs w:val="32"/>
          <w:shd w:val="clear" w:color="auto" w:fill="auto"/>
          <w:lang w:val="en-US" w:eastAsia="zh-CN" w:bidi="ar"/>
        </w:rPr>
        <w:t>关于调整工伤保险费率政策的通知</w:t>
      </w:r>
    </w:p>
    <w:p>
      <w:pPr>
        <w:keepNext w:val="0"/>
        <w:keepLines w:val="0"/>
        <w:widowControl/>
        <w:suppressLineNumbers w:val="0"/>
        <w:shd w:val="clear" w:fill="FFFFFF" w:themeFill="background1"/>
        <w:spacing w:line="360" w:lineRule="auto"/>
        <w:jc w:val="center"/>
        <w:rPr>
          <w:rFonts w:hint="eastAsia" w:ascii="黑体" w:hAnsi="黑体" w:eastAsia="黑体" w:cs="黑体"/>
          <w:b/>
          <w:bCs/>
          <w:i w:val="0"/>
          <w:caps w:val="0"/>
          <w:color w:val="auto"/>
          <w:spacing w:val="0"/>
          <w:kern w:val="0"/>
          <w:sz w:val="32"/>
          <w:szCs w:val="32"/>
          <w:shd w:val="clear" w:color="auto" w:fill="auto"/>
          <w:lang w:val="en-US" w:eastAsia="zh-CN" w:bidi="ar"/>
        </w:rPr>
      </w:pPr>
      <w:r>
        <w:rPr>
          <w:rFonts w:hint="eastAsia" w:ascii="黑体" w:hAnsi="黑体" w:eastAsia="黑体" w:cs="黑体"/>
          <w:b/>
          <w:bCs/>
          <w:i w:val="0"/>
          <w:caps w:val="0"/>
          <w:color w:val="auto"/>
          <w:spacing w:val="0"/>
          <w:kern w:val="0"/>
          <w:sz w:val="32"/>
          <w:szCs w:val="32"/>
          <w:shd w:val="clear" w:color="auto" w:fill="auto"/>
          <w:lang w:val="en-US" w:eastAsia="zh-CN" w:bidi="ar"/>
        </w:rPr>
        <w:t>（2015年7月22日，人社部发〔2015〕71号）</w:t>
      </w:r>
    </w:p>
    <w:p>
      <w:pPr>
        <w:keepNext w:val="0"/>
        <w:keepLines w:val="0"/>
        <w:widowControl/>
        <w:suppressLineNumbers w:val="0"/>
        <w:shd w:val="clear" w:fill="FFFFFF" w:themeFill="background1"/>
        <w:spacing w:line="360" w:lineRule="auto"/>
        <w:jc w:val="left"/>
        <w:rPr>
          <w:rFonts w:hint="eastAsia" w:ascii="宋体" w:hAnsi="宋体" w:eastAsia="宋体" w:cs="宋体"/>
          <w:b w:val="0"/>
          <w:bCs w:val="0"/>
          <w:i w:val="0"/>
          <w:caps w:val="0"/>
          <w:color w:val="auto"/>
          <w:spacing w:val="0"/>
          <w:kern w:val="0"/>
          <w:sz w:val="32"/>
          <w:szCs w:val="32"/>
          <w:shd w:val="clear" w:color="auto" w:fill="auto"/>
          <w:lang w:val="en-US" w:eastAsia="zh-CN" w:bidi="ar"/>
        </w:rPr>
      </w:pPr>
    </w:p>
    <w:p>
      <w:pPr>
        <w:keepNext w:val="0"/>
        <w:keepLines w:val="0"/>
        <w:widowControl/>
        <w:suppressLineNumbers w:val="0"/>
        <w:shd w:val="clear" w:fill="FFFFFF" w:themeFill="background1"/>
        <w:spacing w:line="360" w:lineRule="auto"/>
        <w:jc w:val="left"/>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val="0"/>
          <w:bCs w:val="0"/>
          <w:i w:val="0"/>
          <w:caps w:val="0"/>
          <w:color w:val="auto"/>
          <w:spacing w:val="0"/>
          <w:kern w:val="0"/>
          <w:sz w:val="32"/>
          <w:szCs w:val="32"/>
          <w:shd w:val="clear" w:color="auto" w:fill="auto"/>
          <w:lang w:val="en-US" w:eastAsia="zh-CN" w:bidi="ar"/>
        </w:rPr>
        <w:t>各省、自治区、直辖市人力资源社会保障厅（局）、财政厅（局），新疆生产建设兵团人力资源社会保障局、财务局：</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val="0"/>
          <w:bCs w:val="0"/>
          <w:i w:val="0"/>
          <w:caps w:val="0"/>
          <w:color w:val="auto"/>
          <w:spacing w:val="0"/>
          <w:kern w:val="0"/>
          <w:sz w:val="32"/>
          <w:szCs w:val="32"/>
          <w:shd w:val="clear" w:color="auto" w:fill="auto"/>
          <w:lang w:val="en-US" w:eastAsia="zh-CN" w:bidi="ar"/>
        </w:rPr>
        <w:t>按照党的十八届三中全会提出的“适时适当降低社会保险费率”的精神，为更好贯彻社会保险法、《工伤保险条例》，使工伤保险费率政策更加科学、合理，适应经济社会发展的需要，经国务院批准，自2015年10月1日起，调整现行工伤保险费率政策。现将有关事项通知如下：</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bCs/>
          <w:i w:val="0"/>
          <w:caps w:val="0"/>
          <w:color w:val="auto"/>
          <w:spacing w:val="0"/>
          <w:kern w:val="0"/>
          <w:sz w:val="32"/>
          <w:szCs w:val="32"/>
          <w:shd w:val="clear" w:color="auto" w:fill="auto"/>
          <w:lang w:val="en-US" w:eastAsia="zh-CN" w:bidi="ar"/>
        </w:rPr>
      </w:pPr>
      <w:r>
        <w:rPr>
          <w:rFonts w:hint="eastAsia" w:ascii="宋体" w:hAnsi="宋体" w:eastAsia="宋体" w:cs="宋体"/>
          <w:b/>
          <w:bCs/>
          <w:i w:val="0"/>
          <w:caps w:val="0"/>
          <w:color w:val="auto"/>
          <w:spacing w:val="0"/>
          <w:kern w:val="0"/>
          <w:sz w:val="32"/>
          <w:szCs w:val="32"/>
          <w:shd w:val="clear" w:color="auto" w:fill="auto"/>
          <w:lang w:val="en-US" w:eastAsia="zh-CN" w:bidi="ar"/>
        </w:rPr>
        <w:t>一、关于行业工伤风险类别划分</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val="0"/>
          <w:bCs w:val="0"/>
          <w:i w:val="0"/>
          <w:caps w:val="0"/>
          <w:color w:val="auto"/>
          <w:spacing w:val="0"/>
          <w:kern w:val="0"/>
          <w:sz w:val="32"/>
          <w:szCs w:val="32"/>
          <w:shd w:val="clear" w:color="auto" w:fill="auto"/>
          <w:lang w:val="en-US" w:eastAsia="zh-CN" w:bidi="ar"/>
        </w:rPr>
        <w:t>按照《国民经济行业分类》（GB/T 4754-2011）对行业的划分，根据不同行业的工伤风险程度，由低到高，依次将行业工伤风险类别划分为一类至八类（见附件）。</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bCs/>
          <w:i w:val="0"/>
          <w:caps w:val="0"/>
          <w:color w:val="auto"/>
          <w:spacing w:val="0"/>
          <w:kern w:val="0"/>
          <w:sz w:val="32"/>
          <w:szCs w:val="32"/>
          <w:shd w:val="clear" w:color="auto" w:fill="auto"/>
          <w:lang w:val="en-US" w:eastAsia="zh-CN" w:bidi="ar"/>
        </w:rPr>
        <w:t>二、关于行业差别费率及其档次确定</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val="0"/>
          <w:bCs w:val="0"/>
          <w:i w:val="0"/>
          <w:caps w:val="0"/>
          <w:color w:val="auto"/>
          <w:spacing w:val="0"/>
          <w:kern w:val="0"/>
          <w:sz w:val="32"/>
          <w:szCs w:val="32"/>
          <w:shd w:val="clear" w:color="auto" w:fill="auto"/>
          <w:lang w:val="en-US" w:eastAsia="zh-CN" w:bidi="ar"/>
        </w:rPr>
        <w:t>不同工伤风险类别的行业执行不同的工伤保险行业基准费率。各行业工伤风险类别对应的全国工伤保险行业基准费率为，一类至八类分别控制在该行业用人单位职工工资总额的0.2%、0.4%、0.7%、0.9%、1.1%、1.3%、1.6%、1.9%左右。</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val="0"/>
          <w:bCs w:val="0"/>
          <w:i w:val="0"/>
          <w:caps w:val="0"/>
          <w:color w:val="auto"/>
          <w:spacing w:val="0"/>
          <w:kern w:val="0"/>
          <w:sz w:val="32"/>
          <w:szCs w:val="32"/>
          <w:shd w:val="clear" w:color="auto" w:fill="auto"/>
          <w:lang w:val="en-US" w:eastAsia="zh-CN" w:bidi="ar"/>
        </w:rPr>
        <w:t>通过费率浮动的办法确定每个行业内的费率档次。一类行业分为三个档次，即在基准费率的基础上，可向上浮动至120%、150%，二类至八类行业分为五个档次，即在基准费率的基础上，可分别向上浮动至120%、150%或向下浮动至80%、50%。</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val="0"/>
          <w:bCs w:val="0"/>
          <w:i w:val="0"/>
          <w:caps w:val="0"/>
          <w:color w:val="auto"/>
          <w:spacing w:val="0"/>
          <w:kern w:val="0"/>
          <w:sz w:val="32"/>
          <w:szCs w:val="32"/>
          <w:shd w:val="clear" w:color="auto" w:fill="auto"/>
          <w:lang w:val="en-US" w:eastAsia="zh-CN" w:bidi="ar"/>
        </w:rPr>
        <w:t>各统筹地区人力资源社会保障部门要会同财政部门，按照“以支定收、收支平衡”的原则，合理确定本地区工伤保险行业基准费率具体标准，并征求工会组织、用人单位代表的意见，报统筹地区人民政府批准后实施。基准费率的具体标准可根据统筹地区经济产业结构变动、工伤保险费使用等情况适时调整。</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bCs/>
          <w:i w:val="0"/>
          <w:caps w:val="0"/>
          <w:color w:val="auto"/>
          <w:spacing w:val="0"/>
          <w:kern w:val="0"/>
          <w:sz w:val="32"/>
          <w:szCs w:val="32"/>
          <w:shd w:val="clear" w:color="auto" w:fill="auto"/>
          <w:lang w:val="en-US" w:eastAsia="zh-CN" w:bidi="ar"/>
        </w:rPr>
        <w:t>三、关于单位费率的确定与浮动</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val="0"/>
          <w:bCs w:val="0"/>
          <w:i w:val="0"/>
          <w:caps w:val="0"/>
          <w:color w:val="auto"/>
          <w:spacing w:val="0"/>
          <w:kern w:val="0"/>
          <w:sz w:val="32"/>
          <w:szCs w:val="32"/>
          <w:shd w:val="clear" w:color="auto" w:fill="auto"/>
          <w:lang w:val="en-US" w:eastAsia="zh-CN" w:bidi="ar"/>
        </w:rPr>
        <w:t>统筹地区社会保险经办机构根据用人单位工伤保险费使用、工伤发生率、职业病危害程度等因素，确定其工伤保险费率，并可依据上述因素变化情况，每一至三年确定其在所属行业不同费率档次间是否浮动。对符合浮动条件的用人单位，每次可上下浮动一档或两档。统筹地区工伤保险最低费率不低于本地区一类风险行业基准费率。费率浮动的具体办法由统筹地区人力资源社会保障部门商财政部门制定，并征求工会组织、用人单位代表的意见。</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bCs/>
          <w:i w:val="0"/>
          <w:caps w:val="0"/>
          <w:color w:val="auto"/>
          <w:spacing w:val="0"/>
          <w:kern w:val="0"/>
          <w:sz w:val="32"/>
          <w:szCs w:val="32"/>
          <w:shd w:val="clear" w:color="auto" w:fill="auto"/>
          <w:lang w:val="en-US" w:eastAsia="zh-CN" w:bidi="ar"/>
        </w:rPr>
        <w:t>四、关于费率报备制度</w:t>
      </w:r>
    </w:p>
    <w:p>
      <w:pPr>
        <w:keepNext w:val="0"/>
        <w:keepLines w:val="0"/>
        <w:pageBreakBefore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val="0"/>
          <w:bCs w:val="0"/>
          <w:i w:val="0"/>
          <w:caps w:val="0"/>
          <w:color w:val="auto"/>
          <w:spacing w:val="0"/>
          <w:kern w:val="0"/>
          <w:sz w:val="32"/>
          <w:szCs w:val="32"/>
          <w:shd w:val="clear" w:color="auto" w:fill="auto"/>
          <w:lang w:val="en-US" w:eastAsia="zh-CN" w:bidi="ar"/>
        </w:rPr>
        <w:t>各统筹地区确定的工伤保险行业基准费率具体标准、费率浮动具体办法，应报省级人力资源社会保障部门和财政部门备案并接受指导。省级人力资源社会保障部门、财政部门应每年将各统筹地区工伤保险行业基准费率标准确定和变化以及浮动费率实施情况汇总报人力资</w:t>
      </w:r>
      <w:bookmarkStart w:id="0" w:name="_GoBack"/>
      <w:bookmarkEnd w:id="0"/>
      <w:r>
        <w:rPr>
          <w:rFonts w:hint="eastAsia" w:ascii="宋体" w:hAnsi="宋体" w:eastAsia="宋体" w:cs="宋体"/>
          <w:b w:val="0"/>
          <w:bCs w:val="0"/>
          <w:i w:val="0"/>
          <w:caps w:val="0"/>
          <w:color w:val="auto"/>
          <w:spacing w:val="0"/>
          <w:kern w:val="0"/>
          <w:sz w:val="32"/>
          <w:szCs w:val="32"/>
          <w:shd w:val="clear" w:color="auto" w:fill="auto"/>
          <w:lang w:val="en-US" w:eastAsia="zh-CN" w:bidi="ar"/>
        </w:rPr>
        <w:t>源社会保障部、财政部。</w:t>
      </w:r>
    </w:p>
    <w:p>
      <w:pPr>
        <w:keepNext w:val="0"/>
        <w:keepLines w:val="0"/>
        <w:pageBreakBefore w:val="0"/>
        <w:shd w:val="clear" w:fill="FFFFFF" w:themeFill="background1"/>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olor w:val="auto"/>
          <w:sz w:val="32"/>
          <w:szCs w:val="32"/>
          <w:shd w:val="clear" w:color="auto" w:fill="auto"/>
        </w:rPr>
        <w:t>人力资源社会保障部</w:t>
      </w:r>
    </w:p>
    <w:p>
      <w:pPr>
        <w:shd w:val="clear" w:fill="FFFFFF" w:themeFill="background1"/>
        <w:spacing w:line="360" w:lineRule="auto"/>
        <w:jc w:val="right"/>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olor w:val="auto"/>
          <w:sz w:val="32"/>
          <w:szCs w:val="32"/>
          <w:shd w:val="clear" w:color="auto" w:fill="auto"/>
        </w:rPr>
        <w:t>财政部</w:t>
      </w:r>
    </w:p>
    <w:p>
      <w:pPr>
        <w:shd w:val="clear" w:fill="FFFFFF" w:themeFill="background1"/>
        <w:spacing w:line="360" w:lineRule="auto"/>
        <w:jc w:val="right"/>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olor w:val="auto"/>
          <w:sz w:val="32"/>
          <w:szCs w:val="32"/>
          <w:shd w:val="clear" w:color="auto" w:fill="auto"/>
        </w:rPr>
        <w:t>2015年7月22日</w:t>
      </w:r>
    </w:p>
    <w:p>
      <w:pPr>
        <w:keepNext w:val="0"/>
        <w:keepLines w:val="0"/>
        <w:widowControl/>
        <w:suppressLineNumbers w:val="0"/>
        <w:shd w:val="clear" w:fill="FFFFFF" w:themeFill="background1"/>
        <w:spacing w:line="360" w:lineRule="auto"/>
        <w:jc w:val="left"/>
        <w:rPr>
          <w:rFonts w:hint="eastAsia" w:ascii="宋体" w:hAnsi="宋体" w:eastAsia="宋体" w:cs="宋体"/>
          <w:b w:val="0"/>
          <w:bCs w:val="0"/>
          <w:i w:val="0"/>
          <w:caps w:val="0"/>
          <w:color w:val="auto"/>
          <w:spacing w:val="0"/>
          <w:kern w:val="0"/>
          <w:sz w:val="32"/>
          <w:szCs w:val="32"/>
          <w:shd w:val="clear" w:color="auto" w:fill="auto"/>
          <w:lang w:val="en-US" w:eastAsia="zh-CN" w:bidi="ar"/>
        </w:rPr>
      </w:pPr>
    </w:p>
    <w:p>
      <w:pPr>
        <w:keepNext w:val="0"/>
        <w:keepLines w:val="0"/>
        <w:widowControl/>
        <w:suppressLineNumbers w:val="0"/>
        <w:shd w:val="clear" w:fill="FFFFFF" w:themeFill="background1"/>
        <w:spacing w:line="360" w:lineRule="auto"/>
        <w:jc w:val="left"/>
        <w:rPr>
          <w:rFonts w:hint="eastAsia" w:ascii="宋体" w:hAnsi="宋体" w:eastAsia="宋体" w:cs="宋体"/>
          <w:b/>
          <w:bCs/>
          <w:color w:val="auto"/>
          <w:sz w:val="32"/>
          <w:szCs w:val="32"/>
          <w:shd w:val="clear" w:color="auto" w:fill="auto"/>
        </w:rPr>
      </w:pPr>
      <w:r>
        <w:rPr>
          <w:rFonts w:hint="eastAsia" w:ascii="宋体" w:hAnsi="宋体" w:eastAsia="宋体" w:cs="宋体"/>
          <w:b/>
          <w:bCs/>
          <w:i w:val="0"/>
          <w:caps w:val="0"/>
          <w:color w:val="auto"/>
          <w:spacing w:val="0"/>
          <w:kern w:val="0"/>
          <w:sz w:val="32"/>
          <w:szCs w:val="32"/>
          <w:shd w:val="clear" w:color="auto" w:fill="auto"/>
          <w:lang w:val="en-US" w:eastAsia="zh-CN" w:bidi="ar"/>
        </w:rPr>
        <w:t>附件：工伤保险行业风险分类表</w:t>
      </w:r>
    </w:p>
    <w:p>
      <w:pPr>
        <w:keepNext w:val="0"/>
        <w:keepLines w:val="0"/>
        <w:widowControl/>
        <w:suppressLineNumbers w:val="0"/>
        <w:shd w:val="clear" w:fill="FFFFFF" w:themeFill="background1"/>
        <w:spacing w:line="360" w:lineRule="auto"/>
        <w:jc w:val="left"/>
        <w:rPr>
          <w:rFonts w:hint="eastAsia" w:ascii="宋体" w:hAnsi="宋体" w:eastAsia="宋体" w:cs="宋体"/>
          <w:b w:val="0"/>
          <w:bCs w:val="0"/>
          <w:i w:val="0"/>
          <w:caps w:val="0"/>
          <w:color w:val="auto"/>
          <w:spacing w:val="0"/>
          <w:kern w:val="0"/>
          <w:sz w:val="32"/>
          <w:szCs w:val="32"/>
          <w:shd w:val="clear" w:color="auto" w:fill="auto"/>
          <w:lang w:val="en-US" w:eastAsia="zh-CN" w:bidi="ar"/>
        </w:rPr>
      </w:pPr>
    </w:p>
    <w:p>
      <w:pPr>
        <w:keepNext w:val="0"/>
        <w:keepLines w:val="0"/>
        <w:widowControl/>
        <w:suppressLineNumbers w:val="0"/>
        <w:shd w:val="clear" w:fill="FFFFFF" w:themeFill="background1"/>
        <w:spacing w:line="360" w:lineRule="auto"/>
        <w:jc w:val="left"/>
        <w:rPr>
          <w:rFonts w:hint="eastAsia" w:ascii="宋体" w:hAnsi="宋体" w:eastAsia="宋体" w:cs="宋体"/>
          <w:b w:val="0"/>
          <w:bCs w:val="0"/>
          <w:i w:val="0"/>
          <w:caps w:val="0"/>
          <w:color w:val="auto"/>
          <w:spacing w:val="0"/>
          <w:kern w:val="0"/>
          <w:sz w:val="32"/>
          <w:szCs w:val="32"/>
          <w:shd w:val="clear" w:color="auto" w:fill="auto"/>
          <w:lang w:val="en-US" w:eastAsia="zh-CN" w:bidi="ar"/>
        </w:rPr>
      </w:pPr>
      <w:r>
        <w:rPr>
          <w:rFonts w:hint="eastAsia" w:ascii="宋体" w:hAnsi="宋体" w:eastAsia="宋体" w:cs="宋体"/>
          <w:b w:val="0"/>
          <w:bCs w:val="0"/>
          <w:i w:val="0"/>
          <w:caps w:val="0"/>
          <w:color w:val="auto"/>
          <w:spacing w:val="0"/>
          <w:kern w:val="0"/>
          <w:sz w:val="32"/>
          <w:szCs w:val="32"/>
          <w:shd w:val="clear" w:color="auto" w:fill="auto"/>
          <w:lang w:val="en-US" w:eastAsia="zh-CN" w:bidi="ar"/>
        </w:rPr>
        <w:br w:type="page"/>
      </w:r>
    </w:p>
    <w:p>
      <w:pPr>
        <w:keepNext w:val="0"/>
        <w:keepLines w:val="0"/>
        <w:widowControl/>
        <w:suppressLineNumbers w:val="0"/>
        <w:shd w:val="clear" w:fill="FFFFFF" w:themeFill="background1"/>
        <w:spacing w:line="360" w:lineRule="auto"/>
        <w:jc w:val="left"/>
        <w:rPr>
          <w:rFonts w:hint="eastAsia" w:ascii="宋体" w:hAnsi="宋体" w:eastAsia="宋体" w:cs="宋体"/>
          <w:b w:val="0"/>
          <w:bCs w:val="0"/>
          <w:i w:val="0"/>
          <w:caps w:val="0"/>
          <w:color w:val="auto"/>
          <w:spacing w:val="0"/>
          <w:kern w:val="0"/>
          <w:sz w:val="32"/>
          <w:szCs w:val="32"/>
          <w:shd w:val="clear" w:color="auto" w:fill="auto"/>
          <w:lang w:val="en-US" w:eastAsia="zh-CN" w:bidi="ar"/>
        </w:rPr>
      </w:pPr>
    </w:p>
    <w:p>
      <w:pPr>
        <w:keepNext w:val="0"/>
        <w:keepLines w:val="0"/>
        <w:widowControl/>
        <w:suppressLineNumbers w:val="0"/>
        <w:shd w:val="clear" w:fill="FFFFFF" w:themeFill="background1"/>
        <w:spacing w:line="360" w:lineRule="auto"/>
        <w:jc w:val="left"/>
        <w:rPr>
          <w:rFonts w:hint="eastAsia" w:ascii="宋体" w:hAnsi="宋体" w:eastAsia="宋体" w:cs="宋体"/>
          <w:b w:val="0"/>
          <w:bCs w:val="0"/>
          <w:i w:val="0"/>
          <w:caps w:val="0"/>
          <w:color w:val="auto"/>
          <w:spacing w:val="0"/>
          <w:kern w:val="0"/>
          <w:sz w:val="32"/>
          <w:szCs w:val="32"/>
          <w:shd w:val="clear" w:color="auto" w:fill="auto"/>
          <w:lang w:val="en-US" w:eastAsia="zh-CN" w:bidi="ar"/>
        </w:rPr>
      </w:pPr>
    </w:p>
    <w:p>
      <w:pPr>
        <w:keepNext w:val="0"/>
        <w:keepLines w:val="0"/>
        <w:widowControl/>
        <w:suppressLineNumbers w:val="0"/>
        <w:shd w:val="clear" w:fill="FFFFFF" w:themeFill="background1"/>
        <w:spacing w:line="360" w:lineRule="auto"/>
        <w:jc w:val="center"/>
        <w:rPr>
          <w:rFonts w:hint="eastAsia" w:ascii="宋体" w:hAnsi="宋体" w:eastAsia="宋体" w:cs="宋体"/>
          <w:b/>
          <w:bCs/>
          <w:color w:val="auto"/>
          <w:sz w:val="32"/>
          <w:szCs w:val="32"/>
          <w:shd w:val="clear" w:color="auto" w:fill="auto"/>
        </w:rPr>
      </w:pPr>
      <w:r>
        <w:rPr>
          <w:rFonts w:hint="eastAsia" w:ascii="宋体" w:hAnsi="宋体" w:eastAsia="宋体" w:cs="宋体"/>
          <w:b/>
          <w:bCs/>
          <w:i w:val="0"/>
          <w:caps w:val="0"/>
          <w:color w:val="auto"/>
          <w:spacing w:val="0"/>
          <w:kern w:val="0"/>
          <w:sz w:val="32"/>
          <w:szCs w:val="32"/>
          <w:shd w:val="clear" w:color="auto" w:fill="auto"/>
          <w:lang w:val="en-US" w:eastAsia="zh-CN" w:bidi="ar"/>
        </w:rPr>
        <w:t>工伤保险行业风险分类表</w:t>
      </w:r>
    </w:p>
    <w:tbl>
      <w:tblPr>
        <w:tblStyle w:val="5"/>
        <w:tblW w:w="8363"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
      <w:tblGrid>
        <w:gridCol w:w="1689"/>
        <w:gridCol w:w="66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blCellSpacing w:w="7" w:type="dxa"/>
        </w:trPr>
        <w:tc>
          <w:tcPr>
            <w:tcW w:w="1668"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center"/>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行业类别</w:t>
            </w:r>
          </w:p>
        </w:tc>
        <w:tc>
          <w:tcPr>
            <w:tcW w:w="6653"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center"/>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行业名称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blCellSpacing w:w="7" w:type="dxa"/>
        </w:trPr>
        <w:tc>
          <w:tcPr>
            <w:tcW w:w="1668"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center"/>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一</w:t>
            </w:r>
          </w:p>
        </w:tc>
        <w:tc>
          <w:tcPr>
            <w:tcW w:w="6653" w:type="dxa"/>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软件和信息技术服务业，货币金融服务，资本市场服务，保险业，其他金融业，科技推广和应用服务业，社会工作，广播、电视、电影和影视录音制作业，中国共产党机关，国家机构，人民政协、民主党派，社会保障，群众团体、社会团体和其他成员组织，基层群众自治组织，国际组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blCellSpacing w:w="7" w:type="dxa"/>
        </w:trPr>
        <w:tc>
          <w:tcPr>
            <w:tcW w:w="1668"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center"/>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二</w:t>
            </w:r>
          </w:p>
        </w:tc>
        <w:tc>
          <w:tcPr>
            <w:tcW w:w="6653" w:type="dxa"/>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left"/>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批发业，零售业，仓储业，邮政业，住宿业，餐饮业，电信、广播电视和卫星传输服务，互联网和相关服务，房地产业，租赁业，商务服务业，研究和试验发展，专业技术服务业，居民服务业，其他服务业，教育，卫生，新闻和出版业，文化艺术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blCellSpacing w:w="7" w:type="dxa"/>
        </w:trPr>
        <w:tc>
          <w:tcPr>
            <w:tcW w:w="1668"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center"/>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三</w:t>
            </w:r>
          </w:p>
        </w:tc>
        <w:tc>
          <w:tcPr>
            <w:tcW w:w="6653" w:type="dxa"/>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left"/>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农副食品加工业，食品制造业，酒、饮料和精制茶制造业，烟草制品业 ，纺织业，木材加工和木、竹、藤、棕、草制品业，文教、工美、体育和娱乐用品制造业，计算机、通信和其他电子设备制造业，仪器仪表制造业，其他制造业，水的生产和供应业，机动车、电子产品和日用产品修理业，水利管理业，生态保护和环境治理业，公共设施管理业，娱乐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blCellSpacing w:w="7" w:type="dxa"/>
        </w:trPr>
        <w:tc>
          <w:tcPr>
            <w:tcW w:w="1668"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center"/>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四</w:t>
            </w:r>
          </w:p>
        </w:tc>
        <w:tc>
          <w:tcPr>
            <w:tcW w:w="6653" w:type="dxa"/>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left"/>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农业，畜牧业，农、林、牧、渔服务业，纺织服装、服饰业，皮革、毛皮、羽毛及其制品和制鞋业，印刷和记录媒介复制业，医药制造业，化学纤维制造业，橡胶和塑料制品业，金属制品业，通用设备制造业，专用设备制造业，汽车制造业，铁路、船舶、航空航天和其他运输设备制造业，电气机械和器材制造业，废弃资源综合利用业，金属制品、机械和设备修理业，电力、热力生产和供应业，燃气生产和供应业，铁路运输业，航空运输业，管道运输业，体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blCellSpacing w:w="7" w:type="dxa"/>
        </w:trPr>
        <w:tc>
          <w:tcPr>
            <w:tcW w:w="1668"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center"/>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五</w:t>
            </w:r>
          </w:p>
        </w:tc>
        <w:tc>
          <w:tcPr>
            <w:tcW w:w="6653" w:type="dxa"/>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left"/>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林业，开采辅助活动，家具制造业，造纸和纸制品业，建筑安装业，建筑装饰和其他建筑业，道路运输业，水上运输业，装卸搬运和运输代理业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blCellSpacing w:w="7" w:type="dxa"/>
        </w:trPr>
        <w:tc>
          <w:tcPr>
            <w:tcW w:w="1668"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center"/>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六</w:t>
            </w:r>
          </w:p>
        </w:tc>
        <w:tc>
          <w:tcPr>
            <w:tcW w:w="6653" w:type="dxa"/>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left"/>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渔业，化学原料和化学制品制造业，非金属矿物制品业，黑色金属冶炼和压延加工业，有色金属冶炼和压延加工业，房屋建筑业，土木工程建筑业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blCellSpacing w:w="7" w:type="dxa"/>
        </w:trPr>
        <w:tc>
          <w:tcPr>
            <w:tcW w:w="1668"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center"/>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七</w:t>
            </w:r>
          </w:p>
        </w:tc>
        <w:tc>
          <w:tcPr>
            <w:tcW w:w="6653" w:type="dxa"/>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left"/>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石油和天然气开采业，其他采矿业，石油加工、炼焦和核燃料加工业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blCellSpacing w:w="7" w:type="dxa"/>
        </w:trPr>
        <w:tc>
          <w:tcPr>
            <w:tcW w:w="1668"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center"/>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八</w:t>
            </w:r>
          </w:p>
        </w:tc>
        <w:tc>
          <w:tcPr>
            <w:tcW w:w="6653" w:type="dxa"/>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jc w:val="left"/>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aps w:val="0"/>
                <w:color w:val="auto"/>
                <w:spacing w:val="0"/>
                <w:sz w:val="32"/>
                <w:szCs w:val="32"/>
                <w:shd w:val="clear" w:color="auto" w:fill="auto"/>
              </w:rPr>
              <w:t>煤炭开采和洗选业，黑色金属矿采选业，有色金属矿采选业，非金属矿采选业</w:t>
            </w:r>
          </w:p>
        </w:tc>
      </w:tr>
    </w:tbl>
    <w:p>
      <w:pPr>
        <w:keepNext w:val="0"/>
        <w:keepLines w:val="0"/>
        <w:widowControl/>
        <w:suppressLineNumbers w:val="0"/>
        <w:shd w:val="clear" w:fill="FFFFFF" w:themeFill="background1"/>
        <w:spacing w:line="360" w:lineRule="auto"/>
        <w:jc w:val="left"/>
        <w:rPr>
          <w:rFonts w:hint="eastAsia" w:ascii="宋体" w:hAnsi="宋体" w:eastAsia="宋体" w:cs="宋体"/>
          <w:b w:val="0"/>
          <w:bCs w:val="0"/>
          <w:color w:val="auto"/>
          <w:sz w:val="32"/>
          <w:szCs w:val="32"/>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40918"/>
    <w:rsid w:val="3CB04F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2017-05-16T08:00:05Z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